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36" w:rsidRPr="00C054F7" w:rsidRDefault="00347CAE" w:rsidP="00347CAE">
      <w:pPr>
        <w:jc w:val="center"/>
        <w:rPr>
          <w:b/>
        </w:rPr>
      </w:pPr>
      <w:r w:rsidRPr="00C054F7">
        <w:rPr>
          <w:b/>
        </w:rPr>
        <w:t>ИНФОРМАЦИЯ</w:t>
      </w:r>
    </w:p>
    <w:p w:rsidR="00347CAE" w:rsidRPr="005648FB" w:rsidRDefault="00347CAE" w:rsidP="00347CAE">
      <w:pPr>
        <w:jc w:val="center"/>
        <w:rPr>
          <w:sz w:val="28"/>
          <w:szCs w:val="28"/>
        </w:rPr>
      </w:pPr>
      <w:r w:rsidRPr="005648FB">
        <w:rPr>
          <w:sz w:val="28"/>
          <w:szCs w:val="28"/>
        </w:rPr>
        <w:t>О результатах контрольного мероприятия</w:t>
      </w:r>
    </w:p>
    <w:p w:rsidR="00A217AD" w:rsidRPr="00A217AD" w:rsidRDefault="00A217AD" w:rsidP="00A21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7AD">
        <w:rPr>
          <w:rFonts w:ascii="Times New Roman" w:hAnsi="Times New Roman" w:cs="Times New Roman"/>
          <w:sz w:val="28"/>
          <w:szCs w:val="28"/>
        </w:rPr>
        <w:t>«Документальная проверка финансово-хозяйственной деятельности и соблюдения законодательства РФ о контрактной системе в сфере закупок Муниципального  бюджетного учреждения  дополнительного образования «Д</w:t>
      </w:r>
      <w:r w:rsidR="000152AA">
        <w:rPr>
          <w:rFonts w:ascii="Times New Roman" w:hAnsi="Times New Roman" w:cs="Times New Roman"/>
          <w:sz w:val="28"/>
          <w:szCs w:val="28"/>
        </w:rPr>
        <w:t>етско-юношеская спортивная школа</w:t>
      </w:r>
      <w:r w:rsidRPr="00A217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17A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A217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217AD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Pr="00A217AD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347CAE" w:rsidRDefault="00347CAE" w:rsidP="00347CAE">
      <w:pPr>
        <w:jc w:val="center"/>
      </w:pPr>
    </w:p>
    <w:p w:rsidR="00347CAE" w:rsidRDefault="00347CAE" w:rsidP="00347CAE">
      <w:pPr>
        <w:jc w:val="center"/>
      </w:pPr>
    </w:p>
    <w:p w:rsidR="00347CAE" w:rsidRDefault="00347CAE" w:rsidP="00A217AD">
      <w:pPr>
        <w:jc w:val="both"/>
      </w:pPr>
      <w:r>
        <w:t>Конт</w:t>
      </w:r>
      <w:r w:rsidR="00C054F7">
        <w:t xml:space="preserve">рольно </w:t>
      </w:r>
      <w:proofErr w:type="gramStart"/>
      <w:r w:rsidR="00C054F7">
        <w:t>–с</w:t>
      </w:r>
      <w:proofErr w:type="gramEnd"/>
      <w:r w:rsidR="00C054F7">
        <w:t xml:space="preserve">четной палатой </w:t>
      </w:r>
      <w:proofErr w:type="spellStart"/>
      <w:r w:rsidR="00C054F7">
        <w:t>Клетнянского</w:t>
      </w:r>
      <w:proofErr w:type="spellEnd"/>
      <w:r w:rsidR="00C054F7">
        <w:t xml:space="preserve"> района проведено контрольное мероприятие </w:t>
      </w:r>
    </w:p>
    <w:p w:rsidR="00A217AD" w:rsidRPr="00A217AD" w:rsidRDefault="00A217AD" w:rsidP="00A2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7AD">
        <w:rPr>
          <w:rFonts w:ascii="Times New Roman" w:hAnsi="Times New Roman" w:cs="Times New Roman"/>
          <w:sz w:val="24"/>
          <w:szCs w:val="24"/>
        </w:rPr>
        <w:t>«Документальная проверка финансово-хозяйственной деятельности и соблюдения законодательства РФ о контрактной системе в сфере закупок Муниципального  бюджетного учреждения  дополнительного образования «Д</w:t>
      </w:r>
      <w:r w:rsidR="000152AA">
        <w:rPr>
          <w:rFonts w:ascii="Times New Roman" w:hAnsi="Times New Roman" w:cs="Times New Roman"/>
          <w:sz w:val="24"/>
          <w:szCs w:val="24"/>
        </w:rPr>
        <w:t>ЮСШ</w:t>
      </w:r>
      <w:r w:rsidRPr="00A217AD">
        <w:rPr>
          <w:rFonts w:ascii="Times New Roman" w:hAnsi="Times New Roman" w:cs="Times New Roman"/>
          <w:sz w:val="24"/>
          <w:szCs w:val="24"/>
        </w:rPr>
        <w:t>»</w:t>
      </w:r>
    </w:p>
    <w:p w:rsidR="00A217AD" w:rsidRDefault="00A217AD" w:rsidP="00347CAE">
      <w:pPr>
        <w:jc w:val="center"/>
      </w:pPr>
    </w:p>
    <w:p w:rsidR="00A217AD" w:rsidRDefault="005648FB" w:rsidP="00C2147D">
      <w:pPr>
        <w:jc w:val="both"/>
      </w:pPr>
      <w:r>
        <w:t xml:space="preserve">В ходе контрольного мероприятия выявлены отдельные нарушения и недостатки, </w:t>
      </w:r>
      <w:r w:rsidR="002D49AC">
        <w:t>такие как:</w:t>
      </w:r>
      <w:r w:rsidR="00A217AD">
        <w:rPr>
          <w:b/>
          <w:bCs/>
          <w:color w:val="22272F"/>
          <w:szCs w:val="24"/>
          <w:shd w:val="clear" w:color="auto" w:fill="FFFFFF"/>
        </w:rPr>
        <w:t xml:space="preserve"> </w:t>
      </w:r>
    </w:p>
    <w:p w:rsidR="00BD7D1D" w:rsidRDefault="00BD7D1D" w:rsidP="00BD7D1D">
      <w:pPr>
        <w:shd w:val="clear" w:color="auto" w:fill="FFFFFF"/>
        <w:spacing w:line="256" w:lineRule="atLeast"/>
      </w:pPr>
      <w:r>
        <w:rPr>
          <w:rFonts w:cs="Times New Roman"/>
          <w:szCs w:val="24"/>
        </w:rPr>
        <w:t xml:space="preserve">1. Начисленная заработная плата отражается в карточке-справке по форме 417. </w:t>
      </w:r>
      <w:r>
        <w:rPr>
          <w:rFonts w:cs="Times New Roman"/>
          <w:i/>
          <w:szCs w:val="24"/>
        </w:rPr>
        <w:t xml:space="preserve">При проверке установлено, что данная форма карточки-справки заполняется не в полном объеме, в ней проставляется только начисленная заработная плата и удержания по заработной плате. Лицевая сторона  не содержит сведений о стаже работы, размере оклада, дате приказа о приеме на работу, должности и многое другое. Необходимо главному бухгалтеру привести карточки-справки в соответствие с </w:t>
      </w:r>
      <w:r>
        <w:rPr>
          <w:rFonts w:ascii="Arial" w:eastAsia="Times New Roman" w:hAnsi="Arial"/>
          <w:b/>
          <w:bCs/>
          <w:i/>
          <w:color w:val="000000"/>
          <w:szCs w:val="24"/>
          <w:lang w:eastAsia="ru-RU"/>
        </w:rPr>
        <w:t> </w:t>
      </w:r>
      <w:hyperlink r:id="rId4" w:history="1">
        <w:r>
          <w:rPr>
            <w:rFonts w:eastAsia="Times New Roman" w:cs="Times New Roman"/>
            <w:i/>
            <w:szCs w:val="24"/>
            <w:lang w:eastAsia="ru-RU"/>
          </w:rPr>
          <w:t>Приказом Минфина России от 30.03.2015 N 52н</w:t>
        </w:r>
      </w:hyperlink>
    </w:p>
    <w:p w:rsidR="00BD7D1D" w:rsidRDefault="00BD7D1D" w:rsidP="00BD7D1D">
      <w:pPr>
        <w:ind w:firstLine="720"/>
        <w:jc w:val="both"/>
        <w:rPr>
          <w:rFonts w:cs="Times New Roman"/>
          <w:szCs w:val="24"/>
        </w:rPr>
      </w:pPr>
    </w:p>
    <w:p w:rsidR="00BD7D1D" w:rsidRDefault="00BD7D1D" w:rsidP="00BD7D1D">
      <w:pPr>
        <w:shd w:val="clear" w:color="auto" w:fill="FFFFFF"/>
        <w:spacing w:line="256" w:lineRule="atLeast"/>
      </w:pPr>
      <w:r>
        <w:rPr>
          <w:rFonts w:cs="Times New Roman"/>
          <w:b/>
          <w:szCs w:val="24"/>
        </w:rPr>
        <w:t>Вывод: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Главному бухгалтеру привести карточки-справки в соответствие с </w:t>
      </w:r>
      <w:r>
        <w:rPr>
          <w:rFonts w:ascii="Arial" w:eastAsia="Times New Roman" w:hAnsi="Arial"/>
          <w:b/>
          <w:bCs/>
          <w:color w:val="000000"/>
          <w:szCs w:val="24"/>
          <w:lang w:eastAsia="ru-RU"/>
        </w:rPr>
        <w:t> </w:t>
      </w:r>
      <w:hyperlink r:id="rId5" w:history="1">
        <w:r>
          <w:rPr>
            <w:rFonts w:eastAsia="Times New Roman" w:cs="Times New Roman"/>
            <w:b/>
            <w:szCs w:val="24"/>
            <w:lang w:eastAsia="ru-RU"/>
          </w:rPr>
          <w:t>Приказом Минфина России от 30.03.2015 N 52н</w:t>
        </w:r>
      </w:hyperlink>
      <w:r>
        <w:rPr>
          <w:b/>
        </w:rPr>
        <w:t>.</w:t>
      </w:r>
    </w:p>
    <w:p w:rsidR="00BD7D1D" w:rsidRDefault="00BD7D1D" w:rsidP="00BD7D1D">
      <w:pPr>
        <w:shd w:val="clear" w:color="auto" w:fill="FFFFFF"/>
        <w:spacing w:line="256" w:lineRule="atLeast"/>
        <w:rPr>
          <w:b/>
        </w:rPr>
      </w:pPr>
    </w:p>
    <w:p w:rsidR="00BD7D1D" w:rsidRDefault="00BD7D1D" w:rsidP="00BD7D1D">
      <w:pPr>
        <w:spacing w:line="240" w:lineRule="auto"/>
        <w:jc w:val="both"/>
      </w:pPr>
      <w:r>
        <w:t>2.</w:t>
      </w:r>
      <w:r>
        <w:rPr>
          <w:rFonts w:cs="Times New Roman"/>
          <w:szCs w:val="24"/>
        </w:rPr>
        <w:t xml:space="preserve">  </w:t>
      </w:r>
      <w:proofErr w:type="gramStart"/>
      <w:r>
        <w:rPr>
          <w:rFonts w:cs="Times New Roman"/>
          <w:szCs w:val="24"/>
        </w:rPr>
        <w:t xml:space="preserve">При </w:t>
      </w:r>
      <w:r>
        <w:rPr>
          <w:szCs w:val="24"/>
        </w:rPr>
        <w:t xml:space="preserve">проверке соответствия тарифного разряда по оплате труда тарифно-квалификационным требованиям было установлено, что </w:t>
      </w:r>
      <w:r>
        <w:rPr>
          <w:i/>
          <w:szCs w:val="24"/>
        </w:rPr>
        <w:t>в штатном расписании на 01.01.2014г. оклад инструктора-методиста установлен не правильно, а именно: на основании Постановления администрации Брянской области №800 от 12.08.2010 года оклад инструктора-методиста Л</w:t>
      </w:r>
      <w:r w:rsidR="006E3579">
        <w:rPr>
          <w:i/>
          <w:szCs w:val="24"/>
        </w:rPr>
        <w:t>.</w:t>
      </w:r>
      <w:r>
        <w:rPr>
          <w:i/>
          <w:szCs w:val="24"/>
        </w:rPr>
        <w:t xml:space="preserve"> со среднем образованием и стажем работы свыше 12 лет с учетом индексации с 01.12.2010г. в 1,1раз, с 01.06.2011г</w:t>
      </w:r>
      <w:proofErr w:type="gramEnd"/>
      <w:r>
        <w:rPr>
          <w:i/>
          <w:szCs w:val="24"/>
        </w:rPr>
        <w:t xml:space="preserve">. на 6,5%, с 01.10.2012г. на 6% оклад должен составлять 4458 рублей, в штатном расписании – 4270 руб.. С 01 сентября 2014г. оклад инструктору-методисту установлен правильно, </w:t>
      </w:r>
      <w:proofErr w:type="gramStart"/>
      <w:r>
        <w:rPr>
          <w:i/>
          <w:szCs w:val="24"/>
        </w:rPr>
        <w:t>следовательно</w:t>
      </w:r>
      <w:proofErr w:type="gramEnd"/>
      <w:r>
        <w:rPr>
          <w:i/>
          <w:szCs w:val="24"/>
        </w:rPr>
        <w:t xml:space="preserve"> недоплата за 2014 год составила 1145,32 рубля. В штатном расписании на 01.01.2015г. и на 01.09.2015г. инструктору-методисту Л</w:t>
      </w:r>
      <w:r w:rsidR="006E3579">
        <w:rPr>
          <w:i/>
          <w:szCs w:val="24"/>
        </w:rPr>
        <w:t>.</w:t>
      </w:r>
      <w:r>
        <w:rPr>
          <w:i/>
          <w:szCs w:val="24"/>
        </w:rPr>
        <w:t xml:space="preserve"> установлен оклад в размере 4818 руб. вместо 4458 руб., </w:t>
      </w:r>
      <w:proofErr w:type="gramStart"/>
      <w:r>
        <w:rPr>
          <w:i/>
          <w:szCs w:val="24"/>
        </w:rPr>
        <w:t>следовательно</w:t>
      </w:r>
      <w:proofErr w:type="gramEnd"/>
      <w:r>
        <w:rPr>
          <w:i/>
          <w:szCs w:val="24"/>
        </w:rPr>
        <w:t xml:space="preserve"> переплата за 2015 год составила 3633,17 руб. В штатном расписании на 01.01.2016г. инструктору-методисту Л</w:t>
      </w:r>
      <w:r w:rsidR="006E3579">
        <w:rPr>
          <w:i/>
          <w:szCs w:val="24"/>
        </w:rPr>
        <w:t>.</w:t>
      </w:r>
      <w:r>
        <w:rPr>
          <w:i/>
          <w:szCs w:val="24"/>
        </w:rPr>
        <w:t xml:space="preserve"> установлен оклад в размере 4818 руб. вместо 4458 руб., следовательно переплата за 2016 год составила 2193,17 руб. Общая переплаченная заработная плата с учетом недоплаты инс</w:t>
      </w:r>
      <w:r w:rsidR="006E3579">
        <w:rPr>
          <w:i/>
          <w:szCs w:val="24"/>
        </w:rPr>
        <w:t>труктору-методисту Л</w:t>
      </w:r>
      <w:r>
        <w:rPr>
          <w:i/>
          <w:szCs w:val="24"/>
        </w:rPr>
        <w:t>. составила 4681,02 руб.</w:t>
      </w:r>
    </w:p>
    <w:p w:rsidR="00BD7D1D" w:rsidRDefault="00BD7D1D" w:rsidP="00BD7D1D">
      <w:pPr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D7D1D" w:rsidRDefault="00BD7D1D" w:rsidP="00BD7D1D">
      <w:pPr>
        <w:shd w:val="clear" w:color="auto" w:fill="FFFFFF"/>
        <w:spacing w:line="256" w:lineRule="atLeast"/>
      </w:pPr>
      <w:r>
        <w:rPr>
          <w:rFonts w:cs="Times New Roman"/>
          <w:b/>
          <w:szCs w:val="24"/>
        </w:rPr>
        <w:t>Вывод: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Главному бухгалтеру привести в соответствие с тарифно-квалификационными требованиями, Постановлением администрации Брянской области №800 от 12.08.2010 года штатное расписание и тарификационные списки. В дальнейшей работе более серьезно подходить к вопросу об использовании бюджетных средств.</w:t>
      </w:r>
    </w:p>
    <w:p w:rsidR="00BD7D1D" w:rsidRDefault="00BD7D1D" w:rsidP="00BD7D1D">
      <w:pPr>
        <w:shd w:val="clear" w:color="auto" w:fill="FFFFFF"/>
        <w:spacing w:line="256" w:lineRule="atLeast"/>
        <w:rPr>
          <w:b/>
        </w:rPr>
      </w:pPr>
    </w:p>
    <w:p w:rsidR="00BD7D1D" w:rsidRDefault="00BD7D1D" w:rsidP="00BD7D1D">
      <w:pPr>
        <w:spacing w:line="240" w:lineRule="auto"/>
        <w:jc w:val="both"/>
      </w:pPr>
      <w:r>
        <w:t>3.</w:t>
      </w:r>
      <w:r>
        <w:rPr>
          <w:i/>
          <w:szCs w:val="24"/>
        </w:rPr>
        <w:t xml:space="preserve"> В тарификационном списке на 01.01.2014г.  тренеру – преподавателю Б. с высшим образованием и со стажем работы 8 месяце</w:t>
      </w:r>
      <w:proofErr w:type="gramStart"/>
      <w:r>
        <w:rPr>
          <w:i/>
          <w:szCs w:val="24"/>
        </w:rPr>
        <w:t>в(</w:t>
      </w:r>
      <w:proofErr w:type="gramEnd"/>
      <w:r>
        <w:rPr>
          <w:i/>
          <w:szCs w:val="24"/>
        </w:rPr>
        <w:t xml:space="preserve"> принят на работу с 01.05.2013г. на </w:t>
      </w:r>
      <w:r>
        <w:rPr>
          <w:i/>
          <w:szCs w:val="24"/>
        </w:rPr>
        <w:lastRenderedPageBreak/>
        <w:t>основании приказа от 30.04.2013г. № 712) оклад установлен в размере 4818 рублей, а надо было в размере 3073 руб. В тарификационном списке на 01.09.2014г.  тре</w:t>
      </w:r>
      <w:r w:rsidR="006E3579">
        <w:rPr>
          <w:i/>
          <w:szCs w:val="24"/>
        </w:rPr>
        <w:t>неру – преподавателю Б</w:t>
      </w:r>
      <w:r>
        <w:rPr>
          <w:i/>
          <w:szCs w:val="24"/>
        </w:rPr>
        <w:t xml:space="preserve">. с высшим образованием и со стажем работы </w:t>
      </w:r>
      <w:proofErr w:type="gramStart"/>
      <w:r>
        <w:rPr>
          <w:i/>
          <w:szCs w:val="24"/>
        </w:rPr>
        <w:t>1год и 4 месяца оклад установлен в размере 3378 руб., а надо было в размере 3073 руб. Следовательно, переплата за 2014 год тренеру-преподавателю Б</w:t>
      </w:r>
      <w:r w:rsidR="006E3579">
        <w:rPr>
          <w:i/>
          <w:szCs w:val="24"/>
        </w:rPr>
        <w:t>.</w:t>
      </w:r>
      <w:r>
        <w:rPr>
          <w:i/>
          <w:szCs w:val="24"/>
        </w:rPr>
        <w:t xml:space="preserve"> составила 14191,37 руб. В тарификационном списке на 01.01.2015г.  тренеру – преподавателю Б</w:t>
      </w:r>
      <w:r w:rsidR="006E3579">
        <w:rPr>
          <w:i/>
          <w:szCs w:val="24"/>
        </w:rPr>
        <w:t>.</w:t>
      </w:r>
      <w:r>
        <w:rPr>
          <w:i/>
          <w:szCs w:val="24"/>
        </w:rPr>
        <w:t xml:space="preserve"> с высшим образованием и со стажем работы 1год и 8 месяца оклад установлен в размере 3378 руб., а надо было в размере 3073 руб</w:t>
      </w:r>
      <w:proofErr w:type="gramEnd"/>
      <w:r>
        <w:rPr>
          <w:i/>
          <w:szCs w:val="24"/>
        </w:rPr>
        <w:t xml:space="preserve">. Правильный оклад был установлен только с 01.09.2015г., </w:t>
      </w:r>
      <w:proofErr w:type="gramStart"/>
      <w:r>
        <w:rPr>
          <w:i/>
          <w:szCs w:val="24"/>
        </w:rPr>
        <w:t>следовательно</w:t>
      </w:r>
      <w:proofErr w:type="gramEnd"/>
      <w:r>
        <w:rPr>
          <w:i/>
          <w:szCs w:val="24"/>
        </w:rPr>
        <w:t xml:space="preserve"> переплата составила за 2015 год в размере 2121,47 руб. Общая переплаченная заработная плата т</w:t>
      </w:r>
      <w:r w:rsidR="006E3579">
        <w:rPr>
          <w:i/>
          <w:szCs w:val="24"/>
        </w:rPr>
        <w:t>ренеру-преподавателю Б</w:t>
      </w:r>
      <w:r>
        <w:rPr>
          <w:i/>
          <w:szCs w:val="24"/>
        </w:rPr>
        <w:t>. составила 16312,84 руб.</w:t>
      </w:r>
      <w:r>
        <w:rPr>
          <w:szCs w:val="24"/>
        </w:rPr>
        <w:t xml:space="preserve"> На основании приказа </w:t>
      </w:r>
      <w:r w:rsidR="006E3579">
        <w:rPr>
          <w:szCs w:val="24"/>
        </w:rPr>
        <w:t>№ 28-1 от 30.11.2015г. Б.</w:t>
      </w:r>
      <w:r>
        <w:rPr>
          <w:szCs w:val="24"/>
        </w:rPr>
        <w:t xml:space="preserve"> уволен с 30.11.2015г. по собственному желанию.</w:t>
      </w:r>
    </w:p>
    <w:p w:rsidR="00BD7D1D" w:rsidRDefault="00BD7D1D" w:rsidP="00BD7D1D">
      <w:pPr>
        <w:spacing w:line="240" w:lineRule="auto"/>
        <w:jc w:val="both"/>
        <w:rPr>
          <w:szCs w:val="24"/>
        </w:rPr>
      </w:pPr>
    </w:p>
    <w:p w:rsidR="00BD7D1D" w:rsidRDefault="00BD7D1D" w:rsidP="00BD7D1D">
      <w:pPr>
        <w:shd w:val="clear" w:color="auto" w:fill="FFFFFF"/>
        <w:spacing w:line="256" w:lineRule="atLeast"/>
      </w:pPr>
      <w:r>
        <w:rPr>
          <w:rFonts w:cs="Times New Roman"/>
          <w:b/>
          <w:szCs w:val="24"/>
        </w:rPr>
        <w:t>Вывод:</w:t>
      </w:r>
      <w:r>
        <w:rPr>
          <w:rFonts w:cs="Times New Roman"/>
          <w:szCs w:val="24"/>
        </w:rPr>
        <w:t xml:space="preserve"> </w:t>
      </w:r>
      <w:r w:rsidRPr="00026E69">
        <w:rPr>
          <w:rFonts w:cs="Times New Roman"/>
          <w:b/>
          <w:szCs w:val="24"/>
        </w:rPr>
        <w:t>П</w:t>
      </w:r>
      <w:r>
        <w:rPr>
          <w:rFonts w:cs="Times New Roman"/>
          <w:b/>
          <w:szCs w:val="24"/>
        </w:rPr>
        <w:t xml:space="preserve">ривести в соответствие с тарифно-квалификационными требованиями, Постановлением администрации Брянской области №800 от 12.08.2010 года штатное расписание и тарификационные списки. В дальнейшей работе более серьезно подходить к вопросу об использовании бюджетных средств. </w:t>
      </w:r>
    </w:p>
    <w:p w:rsidR="00BD7D1D" w:rsidRDefault="00BD7D1D" w:rsidP="00BD7D1D">
      <w:pPr>
        <w:spacing w:line="240" w:lineRule="auto"/>
        <w:jc w:val="both"/>
        <w:rPr>
          <w:szCs w:val="24"/>
        </w:rPr>
      </w:pPr>
    </w:p>
    <w:p w:rsidR="00BD7D1D" w:rsidRDefault="00BD7D1D" w:rsidP="00BD7D1D">
      <w:pPr>
        <w:autoSpaceDE w:val="0"/>
        <w:jc w:val="both"/>
      </w:pPr>
      <w:r>
        <w:rPr>
          <w:szCs w:val="24"/>
        </w:rPr>
        <w:t>4.</w:t>
      </w:r>
      <w:r>
        <w:rPr>
          <w:rFonts w:cs="Times New Roman"/>
          <w:szCs w:val="24"/>
        </w:rPr>
        <w:t xml:space="preserve"> В соответствии со  штатным  расписанием в МБУ ДО  ДЮСШ на  0,75 ставки в 2014году и на 1 ставку 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2015г и 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первом полугодии 2016г.  исполняла об</w:t>
      </w:r>
      <w:r w:rsidR="006E3579">
        <w:rPr>
          <w:rFonts w:cs="Times New Roman"/>
          <w:szCs w:val="24"/>
        </w:rPr>
        <w:t>язанность медицинской сестры Ф</w:t>
      </w:r>
      <w:r>
        <w:rPr>
          <w:rFonts w:cs="Times New Roman"/>
          <w:szCs w:val="24"/>
        </w:rPr>
        <w:t>. Медработник осуществлял свою деятельность в соответствии с Сертификатом специалиста, срок которого закончился 15.02.2013г.</w:t>
      </w:r>
    </w:p>
    <w:p w:rsidR="00BD7D1D" w:rsidRDefault="00BD7D1D" w:rsidP="00BD7D1D">
      <w:pPr>
        <w:spacing w:line="240" w:lineRule="auto"/>
        <w:jc w:val="both"/>
      </w:pPr>
      <w:r>
        <w:rPr>
          <w:rFonts w:cs="Times New Roman"/>
          <w:i/>
          <w:szCs w:val="24"/>
        </w:rPr>
        <w:t xml:space="preserve">     В 2014 году при проведении контрольных мероприятий Контрольно-счетная палата  рекомендовала  медицинскому работнику пройти обучение для подтверждения своей квалификации</w:t>
      </w:r>
      <w:proofErr w:type="gramStart"/>
      <w:r>
        <w:rPr>
          <w:rFonts w:cs="Times New Roman"/>
          <w:i/>
          <w:szCs w:val="24"/>
        </w:rPr>
        <w:t xml:space="preserve"> .</w:t>
      </w:r>
      <w:proofErr w:type="gramEnd"/>
      <w:r>
        <w:rPr>
          <w:rFonts w:cs="Times New Roman"/>
          <w:i/>
          <w:szCs w:val="24"/>
        </w:rPr>
        <w:t xml:space="preserve"> Данное обучение проведено не было. Ф</w:t>
      </w:r>
      <w:r w:rsidR="006E3579">
        <w:rPr>
          <w:rFonts w:cs="Times New Roman"/>
          <w:i/>
          <w:szCs w:val="24"/>
        </w:rPr>
        <w:t>.</w:t>
      </w:r>
      <w:r>
        <w:rPr>
          <w:rFonts w:cs="Times New Roman"/>
          <w:i/>
          <w:szCs w:val="24"/>
        </w:rPr>
        <w:t xml:space="preserve"> исполняла свои обязанности без соответствующего сертификата по 31.08.2016г</w:t>
      </w:r>
      <w:proofErr w:type="gramStart"/>
      <w:r>
        <w:rPr>
          <w:rFonts w:cs="Times New Roman"/>
          <w:i/>
          <w:szCs w:val="24"/>
        </w:rPr>
        <w:t>.(</w:t>
      </w:r>
      <w:proofErr w:type="gramEnd"/>
      <w:r>
        <w:rPr>
          <w:rFonts w:cs="Times New Roman"/>
          <w:i/>
          <w:szCs w:val="24"/>
        </w:rPr>
        <w:t xml:space="preserve"> на основании приказа № 8-лс от 31.08.2016г. она уволена  по собственному желанию). С 01.09.2016г. МБУ ДО ДЮСШ </w:t>
      </w:r>
      <w:proofErr w:type="spellStart"/>
      <w:r>
        <w:rPr>
          <w:rFonts w:cs="Times New Roman"/>
          <w:i/>
          <w:szCs w:val="24"/>
        </w:rPr>
        <w:t>пгт</w:t>
      </w:r>
      <w:proofErr w:type="gramStart"/>
      <w:r>
        <w:rPr>
          <w:rFonts w:cs="Times New Roman"/>
          <w:i/>
          <w:szCs w:val="24"/>
        </w:rPr>
        <w:t>.К</w:t>
      </w:r>
      <w:proofErr w:type="gramEnd"/>
      <w:r>
        <w:rPr>
          <w:rFonts w:cs="Times New Roman"/>
          <w:i/>
          <w:szCs w:val="24"/>
        </w:rPr>
        <w:t>летня</w:t>
      </w:r>
      <w:proofErr w:type="spellEnd"/>
      <w:r>
        <w:rPr>
          <w:rFonts w:cs="Times New Roman"/>
          <w:i/>
          <w:szCs w:val="24"/>
        </w:rPr>
        <w:t xml:space="preserve"> Брянской области осуществляет свою деятельность без наличия в штате квалифицированного медицинского работника.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cs="Times New Roman"/>
          <w:color w:val="000000"/>
          <w:sz w:val="21"/>
          <w:szCs w:val="21"/>
        </w:rPr>
        <w:t>Медицинское обеспечение обучающихся осуществляется спортивной школой в соответствии с</w:t>
      </w:r>
      <w:r>
        <w:rPr>
          <w:rStyle w:val="apple-converted-space"/>
          <w:rFonts w:cs="Times New Roman"/>
          <w:color w:val="000000"/>
          <w:sz w:val="21"/>
          <w:szCs w:val="21"/>
        </w:rPr>
        <w:t> </w:t>
      </w:r>
      <w:hyperlink r:id="rId6" w:history="1">
        <w:r>
          <w:rPr>
            <w:rStyle w:val="a3"/>
            <w:rFonts w:cs="Times New Roman"/>
            <w:sz w:val="21"/>
            <w:szCs w:val="21"/>
          </w:rPr>
          <w:t>Приказом Министерства здравоохранения Российской Федерации от 20.08.2001 № 337</w:t>
        </w:r>
      </w:hyperlink>
      <w:r>
        <w:rPr>
          <w:rStyle w:val="apple-converted-space"/>
          <w:rFonts w:cs="Times New Roman"/>
          <w:color w:val="000000"/>
          <w:sz w:val="21"/>
          <w:szCs w:val="21"/>
        </w:rPr>
        <w:t> </w:t>
      </w:r>
      <w:r>
        <w:rPr>
          <w:rFonts w:cs="Times New Roman"/>
          <w:color w:val="000000"/>
          <w:sz w:val="21"/>
          <w:szCs w:val="21"/>
        </w:rPr>
        <w:t>«О мерах по дальнейшему развитию и совершенствованию спортивной медицины и лечебной физкультуры» и другими нормативными актами, принимаемыми федеральным органом управления в сфере здравоохранения.</w:t>
      </w:r>
      <w:proofErr w:type="gramEnd"/>
    </w:p>
    <w:p w:rsidR="00BD7D1D" w:rsidRDefault="00BD7D1D" w:rsidP="00BD7D1D">
      <w:pPr>
        <w:spacing w:line="240" w:lineRule="auto"/>
        <w:jc w:val="both"/>
        <w:rPr>
          <w:szCs w:val="24"/>
        </w:rPr>
      </w:pPr>
    </w:p>
    <w:p w:rsidR="00BD7D1D" w:rsidRDefault="00BD7D1D" w:rsidP="00BD7D1D">
      <w:pPr>
        <w:spacing w:line="240" w:lineRule="auto"/>
        <w:jc w:val="both"/>
      </w:pPr>
      <w:r>
        <w:rPr>
          <w:b/>
          <w:szCs w:val="24"/>
        </w:rPr>
        <w:t>Вывод:</w:t>
      </w:r>
      <w:r>
        <w:rPr>
          <w:rFonts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b/>
          <w:color w:val="000000"/>
          <w:sz w:val="21"/>
          <w:szCs w:val="21"/>
        </w:rPr>
        <w:t xml:space="preserve">Руководителю МБУ ДО ДЮСШ при осуществлении деятельности своего учреждения  необходимо соблюдать требования  </w:t>
      </w:r>
      <w:hyperlink r:id="rId7" w:history="1">
        <w:r>
          <w:rPr>
            <w:rStyle w:val="a3"/>
            <w:rFonts w:cs="Times New Roman"/>
            <w:b/>
            <w:sz w:val="21"/>
            <w:szCs w:val="21"/>
          </w:rPr>
          <w:t>приказа Министерства здравоохранения Российской Федерации от 20.08.2001 № 337</w:t>
        </w:r>
      </w:hyperlink>
      <w:r>
        <w:rPr>
          <w:rStyle w:val="apple-converted-space"/>
          <w:rFonts w:cs="Times New Roman"/>
          <w:b/>
          <w:color w:val="000000"/>
          <w:sz w:val="21"/>
          <w:szCs w:val="21"/>
        </w:rPr>
        <w:t> </w:t>
      </w:r>
      <w:r>
        <w:rPr>
          <w:rFonts w:cs="Times New Roman"/>
          <w:b/>
          <w:color w:val="000000"/>
          <w:sz w:val="21"/>
          <w:szCs w:val="21"/>
        </w:rPr>
        <w:t>«О мерах по дальнейшему развитию и совершенствованию спортивной медицины и лечебной физкультуры» и другие нормативные акты, принимаемые федеральным органом управления в сфере здравоохранения.</w:t>
      </w:r>
    </w:p>
    <w:p w:rsidR="00BD7D1D" w:rsidRDefault="00BD7D1D" w:rsidP="00BD7D1D">
      <w:pPr>
        <w:spacing w:line="24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BD7D1D" w:rsidRDefault="00BD7D1D" w:rsidP="00BD7D1D">
      <w:r>
        <w:rPr>
          <w:rFonts w:cs="Times New Roman"/>
          <w:color w:val="000000"/>
          <w:sz w:val="21"/>
          <w:szCs w:val="21"/>
        </w:rPr>
        <w:t>5.</w:t>
      </w:r>
      <w:r>
        <w:t xml:space="preserve"> В ходе проверки контрольно-счетной палатой и сектором внутреннего муниципального контроля установлено, что положительные результаты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выполнения</w:t>
      </w:r>
      <w:proofErr w:type="gramEnd"/>
      <w:r>
        <w:t xml:space="preserve"> Указа Президента РФ от 07.05.2012г. №597 были достигнуты только за счет бюджетных средств. Необходимо проведение мероприятий по возможному привлечению на повышение заработной платы  средств от приносящей доход деятельности. В целях выполнения Указа Президента РФ от 07.05.2012г. №597</w:t>
      </w:r>
    </w:p>
    <w:p w:rsidR="00BD7D1D" w:rsidRDefault="00BD7D1D" w:rsidP="00BD7D1D"/>
    <w:p w:rsidR="00BD7D1D" w:rsidRDefault="00BD7D1D" w:rsidP="00BD7D1D">
      <w:r>
        <w:rPr>
          <w:b/>
        </w:rPr>
        <w:t>Вывод:</w:t>
      </w:r>
      <w:r>
        <w:t xml:space="preserve"> </w:t>
      </w:r>
      <w:r>
        <w:rPr>
          <w:b/>
        </w:rPr>
        <w:t>Необходимо проведение мероприятий по возможному привлечению для  повышения заработной платы  средств от приносящей доход деятельности.</w:t>
      </w:r>
    </w:p>
    <w:p w:rsidR="00BD7D1D" w:rsidRDefault="00BD7D1D" w:rsidP="00BD7D1D">
      <w:pPr>
        <w:spacing w:line="240" w:lineRule="auto"/>
        <w:jc w:val="both"/>
        <w:rPr>
          <w:szCs w:val="24"/>
        </w:rPr>
      </w:pPr>
    </w:p>
    <w:p w:rsidR="00BD7D1D" w:rsidRDefault="00BD7D1D" w:rsidP="00BD7D1D">
      <w:pPr>
        <w:spacing w:line="240" w:lineRule="auto"/>
        <w:jc w:val="both"/>
      </w:pPr>
      <w:r>
        <w:rPr>
          <w:szCs w:val="24"/>
        </w:rPr>
        <w:lastRenderedPageBreak/>
        <w:t>6.</w:t>
      </w:r>
      <w:r>
        <w:rPr>
          <w:i/>
          <w:szCs w:val="24"/>
        </w:rPr>
        <w:t xml:space="preserve"> </w:t>
      </w:r>
      <w:r>
        <w:rPr>
          <w:szCs w:val="24"/>
        </w:rPr>
        <w:t xml:space="preserve">План-график размещения заказов на 2016 год  </w:t>
      </w:r>
      <w:r>
        <w:rPr>
          <w:bCs/>
          <w:szCs w:val="24"/>
        </w:rPr>
        <w:t xml:space="preserve">размещен на официальном сайте в сети «Интернет» не своевременно, а именно: 08.02.2016г. (районный бюджет на 2016 год принят решением </w:t>
      </w:r>
      <w:proofErr w:type="spellStart"/>
      <w:r>
        <w:rPr>
          <w:bCs/>
          <w:szCs w:val="24"/>
        </w:rPr>
        <w:t>Клетнянского</w:t>
      </w:r>
      <w:proofErr w:type="spellEnd"/>
      <w:r>
        <w:rPr>
          <w:bCs/>
          <w:szCs w:val="24"/>
        </w:rPr>
        <w:t xml:space="preserve"> районного Совета народных депутатов от 24.12.2015г. № 14-3.), что является нарушением приказа </w:t>
      </w:r>
      <w:r>
        <w:rPr>
          <w:szCs w:val="24"/>
        </w:rPr>
        <w:t xml:space="preserve">Минэкономразвития России и Федерального казначейства от 27.12.2011 № 761/20н.    </w:t>
      </w:r>
    </w:p>
    <w:p w:rsidR="00BD7D1D" w:rsidRDefault="00BD7D1D" w:rsidP="00BD7D1D">
      <w:pPr>
        <w:spacing w:line="240" w:lineRule="auto"/>
        <w:jc w:val="both"/>
        <w:rPr>
          <w:szCs w:val="24"/>
        </w:rPr>
      </w:pPr>
    </w:p>
    <w:p w:rsidR="00BD7D1D" w:rsidRDefault="00BD7D1D" w:rsidP="00BD7D1D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Вывод: В дальнейшей работе при размещении планов-графиков на официальном сайте в сети «Интернет» соблюдать приказ Минэкономразвития России и Федерального казначейства от 27.12.2011 № 761/20н.    </w:t>
      </w:r>
    </w:p>
    <w:p w:rsidR="00BD7D1D" w:rsidRDefault="00BD7D1D" w:rsidP="00BD7D1D">
      <w:pPr>
        <w:spacing w:line="240" w:lineRule="auto"/>
        <w:jc w:val="both"/>
        <w:rPr>
          <w:b/>
          <w:szCs w:val="24"/>
        </w:rPr>
      </w:pPr>
    </w:p>
    <w:p w:rsidR="00BD7D1D" w:rsidRDefault="00BD7D1D" w:rsidP="00BD7D1D">
      <w:pPr>
        <w:spacing w:line="240" w:lineRule="auto"/>
        <w:jc w:val="both"/>
      </w:pPr>
      <w:r>
        <w:rPr>
          <w:szCs w:val="24"/>
        </w:rPr>
        <w:t xml:space="preserve">7. В нарушение п.п. 5 пункта 5 </w:t>
      </w:r>
      <w:r>
        <w:rPr>
          <w:bCs/>
          <w:color w:val="22272F"/>
          <w:szCs w:val="24"/>
          <w:shd w:val="clear" w:color="auto" w:fill="FFFFFF"/>
        </w:rPr>
        <w:t>Приказа Министерства экономического развития РФ и Федерального казначейства от 20 сентября 2013 г. N 544/18н</w:t>
      </w:r>
      <w:proofErr w:type="gramStart"/>
      <w:r>
        <w:rPr>
          <w:bCs/>
          <w:color w:val="22272F"/>
          <w:szCs w:val="24"/>
          <w:shd w:val="clear" w:color="auto" w:fill="FFFFFF"/>
        </w:rPr>
        <w:t>"О</w:t>
      </w:r>
      <w:proofErr w:type="gramEnd"/>
      <w:r>
        <w:rPr>
          <w:bCs/>
          <w:color w:val="22272F"/>
          <w:szCs w:val="24"/>
          <w:shd w:val="clear" w:color="auto" w:fill="FFFFFF"/>
        </w:rPr>
        <w:t>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</w:t>
      </w:r>
      <w:r>
        <w:rPr>
          <w:szCs w:val="24"/>
        </w:rPr>
        <w:t>после информации о закупках в столбцах 9 и 13 итоговая информация о совокупных годовых закупках не соответствует совокупному годовому объему закупок на 2014г., 2015г</w:t>
      </w:r>
      <w:r>
        <w:rPr>
          <w:b/>
          <w:szCs w:val="24"/>
        </w:rPr>
        <w:t>.</w:t>
      </w:r>
    </w:p>
    <w:p w:rsidR="00BD7D1D" w:rsidRDefault="00BD7D1D" w:rsidP="00BD7D1D">
      <w:pPr>
        <w:spacing w:line="240" w:lineRule="auto"/>
        <w:jc w:val="both"/>
        <w:rPr>
          <w:b/>
          <w:szCs w:val="24"/>
        </w:rPr>
      </w:pPr>
    </w:p>
    <w:p w:rsidR="00BD7D1D" w:rsidRDefault="00BD7D1D" w:rsidP="00BD7D1D">
      <w:pPr>
        <w:autoSpaceDE w:val="0"/>
      </w:pPr>
      <w:r>
        <w:rPr>
          <w:b/>
          <w:szCs w:val="24"/>
        </w:rPr>
        <w:t>Вывод:</w:t>
      </w:r>
      <w:r>
        <w:rPr>
          <w:szCs w:val="24"/>
        </w:rPr>
        <w:t xml:space="preserve"> </w:t>
      </w:r>
      <w:r>
        <w:rPr>
          <w:b/>
          <w:szCs w:val="24"/>
        </w:rPr>
        <w:t xml:space="preserve">Уточнить планы-графики, размещенные  на официальном сайте Российской Федерации в информационно-телекоммуникационной сети «Интернет» на 2014, 2015  года в соответствии с </w:t>
      </w:r>
      <w:r>
        <w:rPr>
          <w:b/>
          <w:iCs/>
          <w:szCs w:val="24"/>
        </w:rPr>
        <w:t>утвержденным  объемом финансового обеспечения для осуществления учреждением закупок  на 2014, 2015  года.</w:t>
      </w:r>
    </w:p>
    <w:p w:rsidR="00BD7D1D" w:rsidRDefault="00BD7D1D" w:rsidP="00BD7D1D">
      <w:pPr>
        <w:spacing w:line="240" w:lineRule="auto"/>
        <w:jc w:val="both"/>
        <w:rPr>
          <w:szCs w:val="24"/>
        </w:rPr>
      </w:pPr>
    </w:p>
    <w:p w:rsidR="00BD7D1D" w:rsidRDefault="00BD7D1D" w:rsidP="00BD7D1D">
      <w:pPr>
        <w:spacing w:before="100" w:after="100"/>
      </w:pPr>
      <w:r>
        <w:rPr>
          <w:szCs w:val="24"/>
        </w:rPr>
        <w:t>8. В</w:t>
      </w:r>
      <w:r>
        <w:rPr>
          <w:b/>
          <w:bCs/>
          <w:color w:val="333333"/>
          <w:szCs w:val="24"/>
        </w:rPr>
        <w:t xml:space="preserve"> </w:t>
      </w:r>
      <w:r>
        <w:rPr>
          <w:bCs/>
          <w:color w:val="333333"/>
          <w:szCs w:val="24"/>
        </w:rPr>
        <w:t>соответствии с частью 2 статьи 34 Закона № 44-ФЗ</w:t>
      </w:r>
      <w:r>
        <w:rPr>
          <w:color w:val="333333"/>
          <w:szCs w:val="24"/>
        </w:rPr>
        <w:t xml:space="preserve"> при заключении контракта указывается, что цена контракта является твердой и определяется на весь срок  исполнения контракта, а так же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</w:t>
      </w:r>
      <w:r>
        <w:rPr>
          <w:bCs/>
          <w:color w:val="333333"/>
          <w:szCs w:val="24"/>
        </w:rPr>
        <w:t>В нарушение данного положения в договорах:</w:t>
      </w:r>
      <w:r>
        <w:rPr>
          <w:b/>
          <w:bCs/>
          <w:color w:val="333333"/>
          <w:szCs w:val="24"/>
        </w:rPr>
        <w:t xml:space="preserve"> </w:t>
      </w:r>
    </w:p>
    <w:p w:rsidR="00BD7D1D" w:rsidRDefault="00BD7D1D" w:rsidP="00BD7D1D">
      <w:pPr>
        <w:spacing w:before="100" w:after="100"/>
      </w:pPr>
      <w:r>
        <w:rPr>
          <w:b/>
          <w:bCs/>
          <w:color w:val="333333"/>
          <w:szCs w:val="24"/>
        </w:rPr>
        <w:t xml:space="preserve">- </w:t>
      </w:r>
      <w:r>
        <w:rPr>
          <w:szCs w:val="24"/>
        </w:rPr>
        <w:t>с индивидуальн</w:t>
      </w:r>
      <w:r w:rsidR="006E3579">
        <w:rPr>
          <w:szCs w:val="24"/>
        </w:rPr>
        <w:t>ым предпринимателем И</w:t>
      </w:r>
      <w:r>
        <w:rPr>
          <w:szCs w:val="24"/>
        </w:rPr>
        <w:t>. договор б/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от 29.07.2014г</w:t>
      </w:r>
      <w:proofErr w:type="gramStart"/>
      <w:r>
        <w:rPr>
          <w:szCs w:val="24"/>
        </w:rPr>
        <w:t>,д</w:t>
      </w:r>
      <w:proofErr w:type="gramEnd"/>
      <w:r>
        <w:rPr>
          <w:szCs w:val="24"/>
        </w:rPr>
        <w:t>оговор б/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 и без даты;</w:t>
      </w:r>
    </w:p>
    <w:p w:rsidR="00BD7D1D" w:rsidRDefault="006E3579" w:rsidP="00BD7D1D">
      <w:pPr>
        <w:spacing w:before="100" w:after="100"/>
        <w:rPr>
          <w:szCs w:val="24"/>
        </w:rPr>
      </w:pPr>
      <w:r>
        <w:rPr>
          <w:szCs w:val="24"/>
        </w:rPr>
        <w:t>- с ООО «Д</w:t>
      </w:r>
      <w:r w:rsidR="00BD7D1D">
        <w:rPr>
          <w:szCs w:val="24"/>
        </w:rPr>
        <w:t xml:space="preserve">» договор № 0095 от 31.07.2014г.;   </w:t>
      </w:r>
    </w:p>
    <w:p w:rsidR="00BD7D1D" w:rsidRDefault="00BD7D1D" w:rsidP="00BD7D1D">
      <w:pPr>
        <w:spacing w:before="100" w:after="100"/>
        <w:rPr>
          <w:szCs w:val="24"/>
        </w:rPr>
      </w:pPr>
      <w:r>
        <w:rPr>
          <w:szCs w:val="24"/>
        </w:rPr>
        <w:t>- с ООО «С» договор № 1797 от 25.12.2015г.;</w:t>
      </w:r>
    </w:p>
    <w:p w:rsidR="00BD7D1D" w:rsidRDefault="00BD7D1D" w:rsidP="00BD7D1D">
      <w:pPr>
        <w:spacing w:before="100" w:after="100"/>
      </w:pPr>
      <w:r>
        <w:rPr>
          <w:szCs w:val="24"/>
        </w:rPr>
        <w:t>- с ООО «Г» договор б/</w:t>
      </w:r>
      <w:proofErr w:type="spellStart"/>
      <w:proofErr w:type="gramStart"/>
      <w:r>
        <w:rPr>
          <w:szCs w:val="24"/>
        </w:rPr>
        <w:t>н</w:t>
      </w:r>
      <w:proofErr w:type="spellEnd"/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декабря 2015г</w:t>
      </w:r>
      <w:r>
        <w:rPr>
          <w:b/>
          <w:szCs w:val="24"/>
        </w:rPr>
        <w:t xml:space="preserve">. </w:t>
      </w:r>
      <w:r>
        <w:rPr>
          <w:bCs/>
          <w:color w:val="333333"/>
          <w:szCs w:val="24"/>
        </w:rPr>
        <w:t>цена контракта отсутствует. Нарушение обнаружено в 6 договорах на общую сумму 168367,70 руб.</w:t>
      </w:r>
    </w:p>
    <w:p w:rsidR="00BD7D1D" w:rsidRDefault="00BD7D1D" w:rsidP="00BD7D1D">
      <w:pPr>
        <w:jc w:val="both"/>
      </w:pPr>
      <w:r>
        <w:rPr>
          <w:b/>
          <w:bCs/>
          <w:color w:val="333333"/>
          <w:szCs w:val="24"/>
        </w:rPr>
        <w:t xml:space="preserve">Вывод: </w:t>
      </w:r>
      <w:r>
        <w:rPr>
          <w:b/>
          <w:szCs w:val="24"/>
        </w:rPr>
        <w:t>При организации закупок обеспечить строгое соблюдение требований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BD7D1D" w:rsidRDefault="00BD7D1D" w:rsidP="00BD7D1D">
      <w:pPr>
        <w:jc w:val="both"/>
        <w:rPr>
          <w:b/>
          <w:szCs w:val="24"/>
        </w:rPr>
      </w:pPr>
    </w:p>
    <w:p w:rsidR="00BD7D1D" w:rsidRDefault="00BD7D1D" w:rsidP="00BD7D1D">
      <w:pPr>
        <w:spacing w:before="100" w:after="100"/>
        <w:rPr>
          <w:szCs w:val="24"/>
        </w:rPr>
      </w:pPr>
      <w:r>
        <w:rPr>
          <w:szCs w:val="24"/>
        </w:rPr>
        <w:t>9. В нарушение требований частей 4 и 8 статьи 34 Федерального закона  № 44-ФЗ и постановления Правительства РФ от 25.11.2013г. № 1063 в договорах с  индивидуальным предпринимателем  И</w:t>
      </w:r>
      <w:r w:rsidR="006E3579">
        <w:rPr>
          <w:szCs w:val="24"/>
        </w:rPr>
        <w:t>.</w:t>
      </w:r>
      <w:r>
        <w:rPr>
          <w:szCs w:val="24"/>
        </w:rPr>
        <w:t xml:space="preserve"> договор б/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от 29.07.2014г</w:t>
      </w:r>
      <w:proofErr w:type="gramStart"/>
      <w:r>
        <w:rPr>
          <w:szCs w:val="24"/>
        </w:rPr>
        <w:t>,д</w:t>
      </w:r>
      <w:proofErr w:type="gramEnd"/>
      <w:r>
        <w:rPr>
          <w:szCs w:val="24"/>
        </w:rPr>
        <w:t xml:space="preserve">оговор </w:t>
      </w:r>
      <w:r w:rsidR="006E3579">
        <w:rPr>
          <w:szCs w:val="24"/>
        </w:rPr>
        <w:t>б/</w:t>
      </w:r>
      <w:proofErr w:type="spellStart"/>
      <w:r w:rsidR="006E3579">
        <w:rPr>
          <w:szCs w:val="24"/>
        </w:rPr>
        <w:t>н</w:t>
      </w:r>
      <w:proofErr w:type="spellEnd"/>
      <w:r w:rsidR="006E3579">
        <w:rPr>
          <w:szCs w:val="24"/>
        </w:rPr>
        <w:t xml:space="preserve">  и без даты; с ООО «Д</w:t>
      </w:r>
      <w:r>
        <w:rPr>
          <w:szCs w:val="24"/>
        </w:rPr>
        <w:t>» договор № 0095 от</w:t>
      </w:r>
      <w:r w:rsidR="006E3579">
        <w:rPr>
          <w:szCs w:val="24"/>
        </w:rPr>
        <w:t xml:space="preserve"> 31.07.2014г.;  с ООО «Г</w:t>
      </w:r>
      <w:r>
        <w:rPr>
          <w:szCs w:val="24"/>
        </w:rPr>
        <w:t>» договор б/</w:t>
      </w:r>
      <w:proofErr w:type="spellStart"/>
      <w:proofErr w:type="gramStart"/>
      <w:r>
        <w:rPr>
          <w:szCs w:val="24"/>
        </w:rPr>
        <w:t>н</w:t>
      </w:r>
      <w:proofErr w:type="spellEnd"/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декабря 2015г, с Индивидуальн</w:t>
      </w:r>
      <w:r w:rsidR="006E3579">
        <w:rPr>
          <w:szCs w:val="24"/>
        </w:rPr>
        <w:t>ым предпринимателем Т.</w:t>
      </w:r>
      <w:r>
        <w:rPr>
          <w:szCs w:val="24"/>
        </w:rPr>
        <w:t>. договора №13и №12 от 03.03.2015г.  не указан конкретный размер штрафных санкций за неисполнение Поставщиком своих обязательств. Нарушение обнаружено в 6 договорах на общую сумму 263097,70 руб.</w:t>
      </w:r>
    </w:p>
    <w:p w:rsidR="00BD7D1D" w:rsidRDefault="00BD7D1D" w:rsidP="00BD7D1D">
      <w:pPr>
        <w:jc w:val="both"/>
      </w:pPr>
      <w:r>
        <w:rPr>
          <w:b/>
          <w:bCs/>
          <w:color w:val="333333"/>
          <w:szCs w:val="24"/>
        </w:rPr>
        <w:lastRenderedPageBreak/>
        <w:t xml:space="preserve">Вывод: </w:t>
      </w:r>
      <w:r>
        <w:rPr>
          <w:b/>
          <w:szCs w:val="24"/>
        </w:rPr>
        <w:t>При организации закупок обеспечить строгое соблюдение требований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BD7D1D" w:rsidRDefault="00BD7D1D" w:rsidP="00BD7D1D">
      <w:pPr>
        <w:jc w:val="both"/>
        <w:rPr>
          <w:b/>
          <w:szCs w:val="24"/>
        </w:rPr>
      </w:pPr>
    </w:p>
    <w:p w:rsidR="00BD7D1D" w:rsidRDefault="00BD7D1D" w:rsidP="00BD7D1D">
      <w:pPr>
        <w:spacing w:before="100" w:after="100"/>
        <w:rPr>
          <w:szCs w:val="24"/>
        </w:rPr>
      </w:pPr>
      <w:r>
        <w:rPr>
          <w:szCs w:val="24"/>
        </w:rPr>
        <w:t>10. В договорах с  индивидуальным предпринимателем  И</w:t>
      </w:r>
      <w:r w:rsidR="006E3579">
        <w:rPr>
          <w:szCs w:val="24"/>
        </w:rPr>
        <w:t>.</w:t>
      </w:r>
      <w:r>
        <w:rPr>
          <w:szCs w:val="24"/>
        </w:rPr>
        <w:t xml:space="preserve"> договор б/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от 29.07.2014г</w:t>
      </w:r>
      <w:proofErr w:type="gramStart"/>
      <w:r>
        <w:rPr>
          <w:szCs w:val="24"/>
        </w:rPr>
        <w:t>,д</w:t>
      </w:r>
      <w:proofErr w:type="gramEnd"/>
      <w:r>
        <w:rPr>
          <w:szCs w:val="24"/>
        </w:rPr>
        <w:t>оговор б/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 и без даты; </w:t>
      </w:r>
      <w:proofErr w:type="gramStart"/>
      <w:r>
        <w:rPr>
          <w:szCs w:val="24"/>
        </w:rPr>
        <w:t xml:space="preserve">с индивидуальным предпринимателе Л. договор № 017 </w:t>
      </w:r>
      <w:r w:rsidR="006E3579">
        <w:rPr>
          <w:szCs w:val="24"/>
        </w:rPr>
        <w:t>от 28.12.2015г. с ООО «Г.</w:t>
      </w:r>
      <w:r>
        <w:rPr>
          <w:szCs w:val="24"/>
        </w:rPr>
        <w:t>» договор б/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от декабря 2015г в нарушение части 13 статьи 34 Федерального закона № 44-ФЗ от 25.11.2013г. не прописан порядок и срок оплаты товара и порядок и срок осуществления приемки поставленного товара в части соответствия их количества, комплектности, объема требованиям, установленным договором, а так же о порядке</w:t>
      </w:r>
      <w:proofErr w:type="gramEnd"/>
      <w:r>
        <w:rPr>
          <w:szCs w:val="24"/>
        </w:rPr>
        <w:t xml:space="preserve"> и сроках оформления результатов такой приемки. В результате допущено нарушение пункта 1 ст. 708 Гражданского кодекса РФ и ст. 34 Федерального закона № 44 –ФЗ, которые указывают на обязательное отражение в договоре подряда начальных и конечных сроков выполнения работ.  Нарушение обнаружено в 4 договорах на общую сумму 103251,70 руб.</w:t>
      </w:r>
    </w:p>
    <w:p w:rsidR="00BD7D1D" w:rsidRDefault="00BD7D1D" w:rsidP="00BD7D1D">
      <w:pPr>
        <w:jc w:val="both"/>
      </w:pPr>
      <w:r>
        <w:rPr>
          <w:b/>
          <w:bCs/>
          <w:color w:val="333333"/>
          <w:szCs w:val="24"/>
        </w:rPr>
        <w:t xml:space="preserve">Вывод: </w:t>
      </w:r>
      <w:r>
        <w:rPr>
          <w:b/>
          <w:szCs w:val="24"/>
        </w:rPr>
        <w:t>При организации закупок обеспечить строгое соблюдение требований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BD7D1D" w:rsidRDefault="00BD7D1D" w:rsidP="00BD7D1D">
      <w:pPr>
        <w:jc w:val="both"/>
        <w:rPr>
          <w:b/>
          <w:szCs w:val="24"/>
        </w:rPr>
      </w:pPr>
    </w:p>
    <w:p w:rsidR="00BD7D1D" w:rsidRDefault="00BD7D1D" w:rsidP="00BD7D1D">
      <w:pPr>
        <w:spacing w:after="75" w:line="312" w:lineRule="atLeast"/>
        <w:jc w:val="both"/>
      </w:pPr>
      <w:r>
        <w:rPr>
          <w:szCs w:val="24"/>
        </w:rPr>
        <w:t>11.П</w:t>
      </w:r>
      <w:r>
        <w:rPr>
          <w:rFonts w:eastAsia="Times New Roman" w:cs="Times New Roman"/>
          <w:iCs/>
          <w:color w:val="000000"/>
          <w:szCs w:val="24"/>
          <w:lang w:eastAsia="ru-RU"/>
        </w:rPr>
        <w:t>ри проверке выяснено, что тренажер силовой стоимостью 26800 рублей  не используется, что говорит о неэффективном использовании спортивного инвентаря</w:t>
      </w:r>
      <w:proofErr w:type="gramStart"/>
      <w:r>
        <w:rPr>
          <w:rFonts w:eastAsia="Times New Roman" w:cs="Times New Roman"/>
          <w:iCs/>
          <w:color w:val="000000"/>
          <w:szCs w:val="24"/>
          <w:lang w:eastAsia="ru-RU"/>
        </w:rPr>
        <w:t xml:space="preserve"> .</w:t>
      </w:r>
      <w:proofErr w:type="gramEnd"/>
    </w:p>
    <w:p w:rsidR="00BD7D1D" w:rsidRDefault="00BD7D1D" w:rsidP="00BD7D1D">
      <w:pPr>
        <w:spacing w:after="75" w:line="312" w:lineRule="atLeast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 xml:space="preserve">  Силовой тренажер инв.№15 стоимостью 20000,00 руб. и силовой тренажер  ВМ6-4300 инв.№17 стоимостью 16157,00 руб. находятся  в неисправном состоянии и со слов директора учреждения не подлежат восстановлению. Итого установлено неэффективное использование муниципального имущества на сумму 62 957 руб.</w:t>
      </w:r>
    </w:p>
    <w:p w:rsidR="00BD7D1D" w:rsidRDefault="00BD7D1D" w:rsidP="00BD7D1D">
      <w:pPr>
        <w:spacing w:after="75" w:line="312" w:lineRule="atLeast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</w:p>
    <w:p w:rsidR="00BD7D1D" w:rsidRDefault="00BD7D1D" w:rsidP="00BD7D1D">
      <w:pPr>
        <w:spacing w:after="75" w:line="312" w:lineRule="atLeast"/>
        <w:jc w:val="both"/>
        <w:rPr>
          <w:rFonts w:eastAsia="Times New Roman" w:cs="Times New Roman"/>
          <w:b/>
          <w:iCs/>
          <w:color w:val="000000"/>
          <w:szCs w:val="24"/>
          <w:lang w:eastAsia="ru-RU"/>
        </w:rPr>
      </w:pPr>
      <w:r>
        <w:rPr>
          <w:rFonts w:eastAsia="Times New Roman" w:cs="Times New Roman"/>
          <w:b/>
          <w:iCs/>
          <w:color w:val="000000"/>
          <w:szCs w:val="24"/>
          <w:lang w:eastAsia="ru-RU"/>
        </w:rPr>
        <w:t>Вывод: Комиссии по списанию основных средств необходимо подготовить соответствующие документы, подтверждающие невозможность дальнейшего использования Силового тренажера инв.№15 стоимостью 20000,00 руб. и силового тренажера  ВМ6-4300 инв.№17 стоимостью 16157,00 руб. и произвести их списание. Руководителю учреждения обеспечить возможность для использования силового тренажера стоимостью 26800 руб.</w:t>
      </w:r>
    </w:p>
    <w:p w:rsidR="00BD7D1D" w:rsidRDefault="00BD7D1D" w:rsidP="00BD7D1D">
      <w:pPr>
        <w:jc w:val="both"/>
        <w:rPr>
          <w:szCs w:val="24"/>
        </w:rPr>
      </w:pPr>
    </w:p>
    <w:p w:rsidR="00BD7D1D" w:rsidRDefault="00BD7D1D" w:rsidP="00BD7D1D">
      <w:pPr>
        <w:spacing w:after="75" w:line="312" w:lineRule="atLeast"/>
      </w:pPr>
      <w:r>
        <w:rPr>
          <w:szCs w:val="24"/>
        </w:rPr>
        <w:t>12.</w:t>
      </w:r>
      <w:r>
        <w:rPr>
          <w:rFonts w:cs="Times New Roman"/>
          <w:szCs w:val="24"/>
        </w:rPr>
        <w:t xml:space="preserve"> В составе основных средств в МБУ ДО ДЮСШ числится стадион. На данный объект МБУ ДО ДЮСШ не оформлено свидетельство о государственной регистрации права с видом права - оперативное управление. Во время проведения проверки установлено, что на вышеназванном земельном участке с  разрешенным использованием: для размещение стадиона МБУ ДО ДЮСШ </w:t>
      </w:r>
      <w:proofErr w:type="spellStart"/>
      <w:r>
        <w:rPr>
          <w:rFonts w:cs="Times New Roman"/>
          <w:szCs w:val="24"/>
        </w:rPr>
        <w:t>п</w:t>
      </w:r>
      <w:proofErr w:type="gramStart"/>
      <w:r>
        <w:rPr>
          <w:rFonts w:cs="Times New Roman"/>
          <w:szCs w:val="24"/>
        </w:rPr>
        <w:t>.К</w:t>
      </w:r>
      <w:proofErr w:type="gramEnd"/>
      <w:r>
        <w:rPr>
          <w:rFonts w:cs="Times New Roman"/>
          <w:szCs w:val="24"/>
        </w:rPr>
        <w:t>летня</w:t>
      </w:r>
      <w:proofErr w:type="spellEnd"/>
      <w:r>
        <w:rPr>
          <w:rFonts w:cs="Times New Roman"/>
          <w:szCs w:val="24"/>
        </w:rPr>
        <w:t xml:space="preserve"> строится футбольное поле.</w:t>
      </w:r>
    </w:p>
    <w:p w:rsidR="00BD7D1D" w:rsidRDefault="00BD7D1D" w:rsidP="00BD7D1D">
      <w:pPr>
        <w:spacing w:after="75" w:line="312" w:lineRule="atLeast"/>
        <w:rPr>
          <w:rFonts w:cs="Times New Roman"/>
          <w:szCs w:val="24"/>
        </w:rPr>
      </w:pPr>
    </w:p>
    <w:p w:rsidR="00BD7D1D" w:rsidRDefault="00BD7D1D" w:rsidP="00BD7D1D">
      <w:pPr>
        <w:spacing w:after="75" w:line="312" w:lineRule="atLeast"/>
      </w:pPr>
      <w:r>
        <w:rPr>
          <w:rFonts w:cs="Times New Roman"/>
          <w:b/>
          <w:szCs w:val="24"/>
        </w:rPr>
        <w:t>Вывод: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Контрольно-счетная палата и сектор по внутреннему муниципальному контролю рекомендует МБУ ДО ДЮСШ  и комитету по управлению муниципальным имуществом администрации </w:t>
      </w:r>
      <w:proofErr w:type="spellStart"/>
      <w:r>
        <w:rPr>
          <w:rFonts w:cs="Times New Roman"/>
          <w:b/>
          <w:szCs w:val="24"/>
        </w:rPr>
        <w:t>Клетнянского</w:t>
      </w:r>
      <w:proofErr w:type="spellEnd"/>
      <w:r>
        <w:rPr>
          <w:rFonts w:cs="Times New Roman"/>
          <w:b/>
          <w:szCs w:val="24"/>
        </w:rPr>
        <w:t xml:space="preserve"> района привести в соответствие с действующим законодательством,  документы на земельный участок </w:t>
      </w:r>
      <w:r>
        <w:rPr>
          <w:rFonts w:cs="Times New Roman"/>
          <w:b/>
          <w:szCs w:val="24"/>
        </w:rPr>
        <w:lastRenderedPageBreak/>
        <w:t xml:space="preserve">с документами на объекты, расположенными на этом участке </w:t>
      </w:r>
      <w:proofErr w:type="gramStart"/>
      <w:r>
        <w:rPr>
          <w:rFonts w:cs="Times New Roman"/>
          <w:b/>
          <w:szCs w:val="24"/>
        </w:rPr>
        <w:t xml:space="preserve">( </w:t>
      </w:r>
      <w:proofErr w:type="gramEnd"/>
      <w:r>
        <w:rPr>
          <w:rFonts w:cs="Times New Roman"/>
          <w:b/>
          <w:szCs w:val="24"/>
        </w:rPr>
        <w:t xml:space="preserve">стадион и футбольное поле). </w:t>
      </w:r>
    </w:p>
    <w:p w:rsidR="00BD7D1D" w:rsidRDefault="00BD7D1D" w:rsidP="00BD7D1D">
      <w:pPr>
        <w:spacing w:line="240" w:lineRule="auto"/>
      </w:pPr>
      <w:r>
        <w:rPr>
          <w:rFonts w:cs="Times New Roman"/>
          <w:szCs w:val="24"/>
        </w:rPr>
        <w:t>13.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При выборочной проверке установлено, что н</w:t>
      </w:r>
      <w:r>
        <w:rPr>
          <w:rFonts w:cs="Times New Roman"/>
          <w:szCs w:val="24"/>
        </w:rPr>
        <w:t>е все путевые листы заполняются с учетом требований п.2 ст.9 Федерального закона от 06.12.2011г.№ 402-ФЗ «О бухгалтерском учете».    В соответствии с пунктом  2 статьи 9 ФЗ от 06.12.2011г. № 402-ФЗ» О бухгалтерском учете» одним из обязательных реквизитов при заполнении путевого листа является – содержание хозяйственной операции.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Так же при проверке установлено, что в данных путевых листах не проставлялись остатки бензина на начало и конец дня, что существенно затрудняет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использованием ГСМ.</w:t>
      </w:r>
    </w:p>
    <w:p w:rsidR="00BD7D1D" w:rsidRDefault="00BD7D1D" w:rsidP="00BD7D1D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BD7D1D" w:rsidRDefault="00BD7D1D" w:rsidP="00BD7D1D">
      <w:pPr>
        <w:spacing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Вывод: На момент проведения проверки на балансе учреждения не числится </w:t>
      </w:r>
      <w:proofErr w:type="gramStart"/>
      <w:r>
        <w:rPr>
          <w:rFonts w:eastAsia="Times New Roman" w:cs="Times New Roman"/>
          <w:b/>
          <w:color w:val="000000"/>
          <w:szCs w:val="24"/>
          <w:lang w:eastAsia="ru-RU"/>
        </w:rPr>
        <w:t>автотранспорт</w:t>
      </w:r>
      <w:proofErr w:type="gramEnd"/>
      <w:r>
        <w:rPr>
          <w:rFonts w:eastAsia="Times New Roman" w:cs="Times New Roman"/>
          <w:b/>
          <w:color w:val="000000"/>
          <w:szCs w:val="24"/>
          <w:lang w:eastAsia="ru-RU"/>
        </w:rPr>
        <w:t xml:space="preserve"> и путевые листы не ведутся.</w:t>
      </w:r>
    </w:p>
    <w:p w:rsidR="00BD7D1D" w:rsidRDefault="00BD7D1D" w:rsidP="00BD7D1D">
      <w:pPr>
        <w:spacing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BD7D1D" w:rsidRDefault="00BD7D1D" w:rsidP="00BD7D1D">
      <w:pPr>
        <w:jc w:val="both"/>
      </w:pPr>
      <w:r>
        <w:rPr>
          <w:rFonts w:eastAsia="Times New Roman" w:cs="Times New Roman"/>
          <w:color w:val="000000"/>
          <w:szCs w:val="24"/>
          <w:lang w:eastAsia="ru-RU"/>
        </w:rPr>
        <w:t>14.</w:t>
      </w:r>
      <w:r>
        <w:rPr>
          <w:rFonts w:cs="Times New Roman"/>
          <w:szCs w:val="24"/>
        </w:rPr>
        <w:t>Проверкой установлены случаи составления авансовых отчетов раньше даты выдачи денежных сре</w:t>
      </w:r>
      <w:proofErr w:type="gramStart"/>
      <w:r>
        <w:rPr>
          <w:rFonts w:cs="Times New Roman"/>
          <w:szCs w:val="24"/>
        </w:rPr>
        <w:t>дств в п</w:t>
      </w:r>
      <w:proofErr w:type="gramEnd"/>
      <w:r>
        <w:rPr>
          <w:rFonts w:cs="Times New Roman"/>
          <w:szCs w:val="24"/>
        </w:rPr>
        <w:t>одотчет.</w:t>
      </w:r>
    </w:p>
    <w:p w:rsidR="00BD7D1D" w:rsidRDefault="00BD7D1D" w:rsidP="00BD7D1D">
      <w:pPr>
        <w:jc w:val="both"/>
        <w:rPr>
          <w:rFonts w:cs="Times New Roman"/>
          <w:szCs w:val="24"/>
        </w:rPr>
      </w:pPr>
    </w:p>
    <w:p w:rsidR="00BD7D1D" w:rsidRDefault="00BD7D1D" w:rsidP="00BD7D1D">
      <w:pPr>
        <w:jc w:val="both"/>
      </w:pPr>
      <w:r>
        <w:rPr>
          <w:rFonts w:cs="Times New Roman"/>
          <w:b/>
          <w:szCs w:val="24"/>
        </w:rPr>
        <w:t xml:space="preserve">Вывод: </w:t>
      </w:r>
      <w:proofErr w:type="gramStart"/>
      <w:r>
        <w:rPr>
          <w:rFonts w:cs="Times New Roman"/>
          <w:b/>
          <w:szCs w:val="24"/>
        </w:rPr>
        <w:t xml:space="preserve">При составлении авансовых отчетов руководствоваться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Федеральным законом от 06.12.2011г. № 402-ФЗ «О бухгалтерском учете», </w:t>
      </w:r>
      <w:r>
        <w:rPr>
          <w:b/>
          <w:bCs/>
          <w:color w:val="22272F"/>
          <w:szCs w:val="24"/>
          <w:shd w:val="clear" w:color="auto" w:fill="FFFFFF"/>
        </w:rPr>
        <w:t xml:space="preserve">Приказом Минфина РФ от 16 декабря 2010 г. N 174н "Об утверждении Плана счетов бухгалтерского учета бюджетных учреждений и Инструкции по его применению", Приказом Минфина РФ от 15.12.2010г. № 173н (на 2014г.) и Приказом Минфина РФ от 30.03.2015г. № 52н (на 2015 и 2016г.г.).  </w:t>
      </w:r>
      <w:proofErr w:type="gramEnd"/>
    </w:p>
    <w:p w:rsidR="00A217AD" w:rsidRDefault="00A217AD" w:rsidP="00A217AD">
      <w:pPr>
        <w:spacing w:line="240" w:lineRule="auto"/>
        <w:rPr>
          <w:rFonts w:cs="Times New Roman"/>
          <w:szCs w:val="24"/>
        </w:rPr>
      </w:pPr>
    </w:p>
    <w:p w:rsidR="002D49AC" w:rsidRDefault="002D49AC" w:rsidP="005648FB">
      <w:pPr>
        <w:jc w:val="both"/>
      </w:pPr>
    </w:p>
    <w:p w:rsidR="00C054F7" w:rsidRDefault="002D49AC" w:rsidP="005648FB">
      <w:pPr>
        <w:jc w:val="both"/>
      </w:pPr>
      <w:r>
        <w:t>В</w:t>
      </w:r>
      <w:r w:rsidR="000152AA">
        <w:t xml:space="preserve"> адрес ДЮСШ</w:t>
      </w:r>
      <w:r w:rsidR="00C2147D">
        <w:t xml:space="preserve"> </w:t>
      </w:r>
      <w:r w:rsidR="005648FB">
        <w:t>направлено пред</w:t>
      </w:r>
      <w:r w:rsidR="00447239">
        <w:t>писание</w:t>
      </w:r>
      <w:r w:rsidR="005648FB">
        <w:t xml:space="preserve"> для принятия мер по  устранению</w:t>
      </w:r>
      <w:r w:rsidR="00447239">
        <w:t xml:space="preserve"> недостатков, описанных в акте.</w:t>
      </w:r>
    </w:p>
    <w:p w:rsidR="002D49AC" w:rsidRDefault="005648FB" w:rsidP="005648FB">
      <w:pPr>
        <w:jc w:val="both"/>
      </w:pPr>
      <w:r>
        <w:t xml:space="preserve"> </w:t>
      </w:r>
    </w:p>
    <w:p w:rsidR="00447239" w:rsidRDefault="005648FB" w:rsidP="005648FB">
      <w:pPr>
        <w:jc w:val="both"/>
      </w:pPr>
      <w:r>
        <w:t>А</w:t>
      </w:r>
      <w:r w:rsidR="000152AA">
        <w:t>дминистрация ДЮСШ</w:t>
      </w:r>
      <w:r>
        <w:t xml:space="preserve"> уведомило КСП о выполнении пред</w:t>
      </w:r>
      <w:r w:rsidR="00447239">
        <w:t>писания</w:t>
      </w:r>
      <w:r w:rsidR="006E3579">
        <w:t>.</w:t>
      </w:r>
    </w:p>
    <w:p w:rsidR="00447239" w:rsidRDefault="00447239" w:rsidP="005648FB">
      <w:pPr>
        <w:jc w:val="both"/>
      </w:pPr>
    </w:p>
    <w:p w:rsidR="00447239" w:rsidRDefault="00447239" w:rsidP="005648FB">
      <w:pPr>
        <w:jc w:val="both"/>
      </w:pPr>
      <w:r>
        <w:t>Подготовлено в печать</w:t>
      </w:r>
    </w:p>
    <w:p w:rsidR="005648FB" w:rsidRDefault="00447239" w:rsidP="005648FB">
      <w:pPr>
        <w:jc w:val="both"/>
      </w:pPr>
      <w:r>
        <w:t>30.09</w:t>
      </w:r>
      <w:r w:rsidR="005648FB">
        <w:t>.</w:t>
      </w:r>
      <w:r>
        <w:t>2016</w:t>
      </w:r>
      <w:r w:rsidR="005648FB">
        <w:t xml:space="preserve"> </w:t>
      </w:r>
    </w:p>
    <w:sectPr w:rsidR="005648FB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AE"/>
    <w:rsid w:val="000152AA"/>
    <w:rsid w:val="002D49AC"/>
    <w:rsid w:val="00347CAE"/>
    <w:rsid w:val="00447239"/>
    <w:rsid w:val="00532C99"/>
    <w:rsid w:val="005648FB"/>
    <w:rsid w:val="006E3579"/>
    <w:rsid w:val="00805E82"/>
    <w:rsid w:val="00873936"/>
    <w:rsid w:val="00A217AD"/>
    <w:rsid w:val="00A40354"/>
    <w:rsid w:val="00BD7D1D"/>
    <w:rsid w:val="00C054F7"/>
    <w:rsid w:val="00C2147D"/>
    <w:rsid w:val="00D4681E"/>
    <w:rsid w:val="00F050B4"/>
    <w:rsid w:val="00F26DBE"/>
    <w:rsid w:val="00F820BA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17A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17AD"/>
  </w:style>
  <w:style w:type="character" w:styleId="a3">
    <w:name w:val="Hyperlink"/>
    <w:basedOn w:val="a0"/>
    <w:rsid w:val="00A217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5E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805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dar-info.ru/docs/acts/?sectId=944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acts/?sectId=94497" TargetMode="External"/><Relationship Id="rId5" Type="http://schemas.openxmlformats.org/officeDocument/2006/relationships/hyperlink" Target="http://blanker.ru/law/prikaz-minfina-rossii-ot-30032015-n-52n" TargetMode="External"/><Relationship Id="rId4" Type="http://schemas.openxmlformats.org/officeDocument/2006/relationships/hyperlink" Target="http://blanker.ru/law/prikaz-minfina-rossii-ot-30032015-n-5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7</cp:revision>
  <dcterms:created xsi:type="dcterms:W3CDTF">2017-04-11T08:32:00Z</dcterms:created>
  <dcterms:modified xsi:type="dcterms:W3CDTF">2017-04-11T08:50:00Z</dcterms:modified>
</cp:coreProperties>
</file>