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5" w:rsidRPr="002F0B6A" w:rsidRDefault="00EF0E95" w:rsidP="00EF0E95">
      <w:pPr>
        <w:pStyle w:val="a4"/>
        <w:jc w:val="center"/>
        <w:rPr>
          <w:b/>
        </w:rPr>
      </w:pPr>
      <w:r w:rsidRPr="002F0B6A">
        <w:rPr>
          <w:b/>
        </w:rPr>
        <w:t>РОССИЙСКАЯ ФЕДЕРАЦИЯ</w:t>
      </w:r>
    </w:p>
    <w:p w:rsidR="00EF0E95" w:rsidRPr="002F0B6A" w:rsidRDefault="00EF0E95" w:rsidP="00EF0E95">
      <w:pPr>
        <w:pStyle w:val="a4"/>
        <w:jc w:val="center"/>
        <w:rPr>
          <w:b/>
        </w:rPr>
      </w:pPr>
      <w:r w:rsidRPr="002F0B6A">
        <w:rPr>
          <w:b/>
        </w:rPr>
        <w:t>БРЯНСКАЯ ОБЛАСТЬ КЛЕТНЯНСКИЙ МУНИЦИПАЛЬНЫЙ РАЙОН</w:t>
      </w:r>
    </w:p>
    <w:p w:rsidR="00EF0E95" w:rsidRPr="002F0B6A" w:rsidRDefault="00EF0E95" w:rsidP="00EF0E95">
      <w:pPr>
        <w:pStyle w:val="a4"/>
        <w:jc w:val="center"/>
        <w:rPr>
          <w:b/>
          <w:sz w:val="28"/>
          <w:szCs w:val="28"/>
        </w:rPr>
      </w:pPr>
      <w:r w:rsidRPr="002F0B6A">
        <w:rPr>
          <w:b/>
        </w:rPr>
        <w:t>МУЖИНОВСКИЙ СЕЛЬСКИЙ СОВЕТ НАРОДНЫХ ДЕПУТАТОВ</w:t>
      </w:r>
    </w:p>
    <w:p w:rsidR="00EF0E95" w:rsidRPr="002F0B6A" w:rsidRDefault="00EF0E95" w:rsidP="00EF0E95">
      <w:pPr>
        <w:tabs>
          <w:tab w:val="left" w:pos="2968"/>
        </w:tabs>
        <w:jc w:val="center"/>
        <w:rPr>
          <w:b/>
        </w:rPr>
      </w:pPr>
      <w:r>
        <w:rPr>
          <w:b/>
        </w:rPr>
        <w:t>Четвертого</w:t>
      </w:r>
      <w:r w:rsidRPr="002F0B6A">
        <w:rPr>
          <w:b/>
        </w:rPr>
        <w:t xml:space="preserve"> созыва</w:t>
      </w:r>
    </w:p>
    <w:p w:rsidR="00EF0E95" w:rsidRPr="00E451C6" w:rsidRDefault="00EF0E95" w:rsidP="00EF0E95">
      <w:pPr>
        <w:tabs>
          <w:tab w:val="left" w:pos="2968"/>
        </w:tabs>
        <w:jc w:val="center"/>
        <w:rPr>
          <w:b/>
          <w:sz w:val="28"/>
          <w:szCs w:val="28"/>
        </w:rPr>
      </w:pPr>
      <w:r w:rsidRPr="00E451C6">
        <w:rPr>
          <w:b/>
          <w:sz w:val="28"/>
          <w:szCs w:val="28"/>
        </w:rPr>
        <w:t>РЕШЕНИЕ</w:t>
      </w:r>
    </w:p>
    <w:p w:rsidR="00EF0E95" w:rsidRDefault="00EF0E95" w:rsidP="00EF0E95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0E95" w:rsidRPr="0031321E" w:rsidRDefault="00EF0E95" w:rsidP="00EF0E95">
      <w:pPr>
        <w:pStyle w:val="a4"/>
        <w:rPr>
          <w:b/>
        </w:rPr>
      </w:pPr>
      <w:r>
        <w:rPr>
          <w:b/>
        </w:rPr>
        <w:t>От «31 »  октября</w:t>
      </w:r>
      <w:r w:rsidRPr="0031321E">
        <w:rPr>
          <w:b/>
        </w:rPr>
        <w:t xml:space="preserve">  2019г.   </w:t>
      </w:r>
      <w:r>
        <w:rPr>
          <w:b/>
        </w:rPr>
        <w:t>№2-15</w:t>
      </w:r>
    </w:p>
    <w:p w:rsidR="00EF0E95" w:rsidRPr="0031321E" w:rsidRDefault="00EF0E95" w:rsidP="00EF0E95">
      <w:pPr>
        <w:pStyle w:val="a4"/>
        <w:rPr>
          <w:b/>
        </w:rPr>
      </w:pPr>
      <w:r w:rsidRPr="0031321E">
        <w:rPr>
          <w:b/>
        </w:rPr>
        <w:t xml:space="preserve">С. </w:t>
      </w:r>
      <w:proofErr w:type="spellStart"/>
      <w:r w:rsidRPr="0031321E">
        <w:rPr>
          <w:b/>
        </w:rPr>
        <w:t>Мужиново</w:t>
      </w:r>
      <w:proofErr w:type="spellEnd"/>
      <w:r w:rsidRPr="0031321E">
        <w:rPr>
          <w:b/>
        </w:rPr>
        <w:t xml:space="preserve">  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 xml:space="preserve"> </w:t>
      </w:r>
    </w:p>
    <w:p w:rsidR="00EF0E95" w:rsidRDefault="00EF0E95" w:rsidP="00EF0E95">
      <w:pPr>
        <w:pStyle w:val="a4"/>
        <w:rPr>
          <w:b/>
        </w:rPr>
      </w:pPr>
      <w:r>
        <w:t xml:space="preserve"> </w:t>
      </w:r>
      <w:r w:rsidRPr="0031321E">
        <w:rPr>
          <w:b/>
        </w:rPr>
        <w:t xml:space="preserve">О внесении изменений в Решение </w:t>
      </w:r>
      <w:proofErr w:type="spellStart"/>
      <w:r w:rsidRPr="0031321E">
        <w:rPr>
          <w:b/>
        </w:rPr>
        <w:t>Мужиновского</w:t>
      </w:r>
      <w:proofErr w:type="spellEnd"/>
      <w:r w:rsidRPr="0031321E">
        <w:rPr>
          <w:b/>
        </w:rPr>
        <w:t xml:space="preserve"> </w:t>
      </w:r>
      <w:proofErr w:type="gramStart"/>
      <w:r w:rsidRPr="0031321E">
        <w:rPr>
          <w:b/>
        </w:rPr>
        <w:t>сельского</w:t>
      </w:r>
      <w:proofErr w:type="gramEnd"/>
    </w:p>
    <w:p w:rsidR="00EF0E95" w:rsidRDefault="00EF0E95" w:rsidP="00EF0E95">
      <w:pPr>
        <w:pStyle w:val="a4"/>
        <w:rPr>
          <w:b/>
        </w:rPr>
      </w:pPr>
      <w:r w:rsidRPr="0031321E">
        <w:rPr>
          <w:b/>
        </w:rPr>
        <w:t xml:space="preserve"> Совета народных депутатов №10-1</w:t>
      </w:r>
      <w:r>
        <w:rPr>
          <w:b/>
        </w:rPr>
        <w:t xml:space="preserve"> </w:t>
      </w:r>
      <w:r w:rsidRPr="0031321E">
        <w:rPr>
          <w:b/>
        </w:rPr>
        <w:t xml:space="preserve"> от</w:t>
      </w:r>
      <w:r>
        <w:rPr>
          <w:b/>
        </w:rPr>
        <w:t xml:space="preserve"> </w:t>
      </w:r>
      <w:r w:rsidRPr="0031321E">
        <w:rPr>
          <w:b/>
        </w:rPr>
        <w:t>19.11.2015г</w:t>
      </w:r>
    </w:p>
    <w:p w:rsidR="00EF0E95" w:rsidRPr="0031321E" w:rsidRDefault="00EF0E95" w:rsidP="00EF0E95">
      <w:pPr>
        <w:pStyle w:val="a4"/>
        <w:rPr>
          <w:b/>
        </w:rPr>
      </w:pPr>
      <w:r w:rsidRPr="0031321E">
        <w:rPr>
          <w:b/>
        </w:rPr>
        <w:t xml:space="preserve"> «О налоге на имущество физических лиц» </w:t>
      </w:r>
    </w:p>
    <w:p w:rsidR="00EF0E95" w:rsidRPr="0031321E" w:rsidRDefault="00EF0E95" w:rsidP="00EF0E95">
      <w:pPr>
        <w:pStyle w:val="a4"/>
      </w:pP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Pr="0031321E">
        <w:rPr>
          <w:rFonts w:cstheme="minorHAnsi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 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</w:t>
      </w:r>
      <w:proofErr w:type="gramEnd"/>
      <w:r w:rsidRPr="0031321E">
        <w:rPr>
          <w:rFonts w:cstheme="minorHAnsi"/>
        </w:rPr>
        <w:t xml:space="preserve"> кадастровой стоимости объектов налогообложения», руководствуясь Уставом муниципального о</w:t>
      </w:r>
      <w:r>
        <w:rPr>
          <w:rFonts w:cstheme="minorHAnsi"/>
        </w:rPr>
        <w:t xml:space="preserve">бразования </w:t>
      </w:r>
      <w:proofErr w:type="spellStart"/>
      <w:r>
        <w:rPr>
          <w:rFonts w:cstheme="minorHAnsi"/>
        </w:rPr>
        <w:t>Мужиновского</w:t>
      </w:r>
      <w:proofErr w:type="spellEnd"/>
      <w:r>
        <w:rPr>
          <w:rFonts w:cstheme="minorHAnsi"/>
        </w:rPr>
        <w:t xml:space="preserve"> сельского поселение, </w:t>
      </w:r>
      <w:proofErr w:type="spellStart"/>
      <w:r>
        <w:rPr>
          <w:rFonts w:cstheme="minorHAnsi"/>
        </w:rPr>
        <w:t>Клетнян</w:t>
      </w:r>
      <w:r w:rsidRPr="0031321E">
        <w:rPr>
          <w:rFonts w:cstheme="minorHAnsi"/>
        </w:rPr>
        <w:t>ского</w:t>
      </w:r>
      <w:proofErr w:type="spellEnd"/>
      <w:r w:rsidRPr="0031321E">
        <w:rPr>
          <w:rFonts w:cstheme="minorHAnsi"/>
        </w:rPr>
        <w:t xml:space="preserve"> района Брянской обл</w:t>
      </w:r>
      <w:r>
        <w:rPr>
          <w:rFonts w:cstheme="minorHAnsi"/>
        </w:rPr>
        <w:t>асти</w:t>
      </w:r>
      <w:proofErr w:type="gramStart"/>
      <w:r>
        <w:rPr>
          <w:rFonts w:cstheme="minorHAnsi"/>
        </w:rPr>
        <w:t xml:space="preserve"> .</w:t>
      </w:r>
      <w:proofErr w:type="gramEnd"/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proofErr w:type="spellStart"/>
      <w:r>
        <w:rPr>
          <w:rFonts w:cstheme="minorHAnsi"/>
        </w:rPr>
        <w:t>Мужиновский</w:t>
      </w:r>
      <w:proofErr w:type="spellEnd"/>
      <w:r>
        <w:rPr>
          <w:rFonts w:cstheme="minorHAnsi"/>
        </w:rPr>
        <w:t xml:space="preserve"> сельский </w:t>
      </w:r>
      <w:r w:rsidRPr="0031321E">
        <w:rPr>
          <w:rFonts w:cstheme="minorHAnsi"/>
        </w:rPr>
        <w:t xml:space="preserve"> Совет народных депутатов</w:t>
      </w: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>РЕШИЛ: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>1</w:t>
      </w:r>
      <w:r>
        <w:rPr>
          <w:rFonts w:cstheme="minorHAnsi"/>
        </w:rPr>
        <w:t xml:space="preserve">. Внести в Решение </w:t>
      </w:r>
      <w:proofErr w:type="spellStart"/>
      <w:r>
        <w:rPr>
          <w:rFonts w:cstheme="minorHAnsi"/>
        </w:rPr>
        <w:t>Мужиновского</w:t>
      </w:r>
      <w:proofErr w:type="spellEnd"/>
      <w:r>
        <w:rPr>
          <w:rFonts w:cstheme="minorHAnsi"/>
        </w:rPr>
        <w:t xml:space="preserve"> сельского Совета народных депутатов от19.11.2015г 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>№10-1 « О налоге на имущество физических лиц» следующие изменения:</w:t>
      </w: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 xml:space="preserve">     Пункт 2 изложить в следующей редакции:</w:t>
      </w: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 xml:space="preserve">2. Установить, ставки </w:t>
      </w:r>
      <w:proofErr w:type="gramStart"/>
      <w:r w:rsidRPr="0031321E">
        <w:rPr>
          <w:rFonts w:cstheme="minorHAnsi"/>
        </w:rPr>
        <w:t>налога</w:t>
      </w:r>
      <w:proofErr w:type="gramEnd"/>
      <w:r w:rsidRPr="0031321E">
        <w:rPr>
          <w:rFonts w:cstheme="minorHAnsi"/>
        </w:rPr>
        <w:t xml:space="preserve"> на имущество физических лиц исходя из кадастровой стоимости объекта налогообложения: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 xml:space="preserve"> 2.1. </w:t>
      </w:r>
      <w:r>
        <w:rPr>
          <w:rFonts w:cstheme="minorHAnsi"/>
        </w:rPr>
        <w:t>Ж</w:t>
      </w:r>
      <w:r w:rsidRPr="0031321E">
        <w:rPr>
          <w:rFonts w:cstheme="minorHAnsi"/>
        </w:rPr>
        <w:t>илых домов, частей жилых домов, квартир,  частей квартир, комнат</w:t>
      </w:r>
      <w:r>
        <w:rPr>
          <w:rFonts w:cstheme="minorHAnsi"/>
        </w:rPr>
        <w:t>;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>- единых недвижимых комплексов, в состав которы</w:t>
      </w:r>
      <w:r>
        <w:rPr>
          <w:rFonts w:cstheme="minorHAnsi"/>
        </w:rPr>
        <w:t>х входит хотя бы один жилой дом;</w:t>
      </w:r>
      <w:r w:rsidRPr="0031321E">
        <w:rPr>
          <w:rFonts w:cstheme="minorHAnsi"/>
        </w:rPr>
        <w:t xml:space="preserve"> 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31321E">
        <w:rPr>
          <w:rFonts w:cstheme="minorHAnsi"/>
        </w:rPr>
        <w:t xml:space="preserve">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 хозяйства,  огородничества, садоводства или индивиду</w:t>
      </w:r>
      <w:r>
        <w:rPr>
          <w:rFonts w:cstheme="minorHAnsi"/>
        </w:rPr>
        <w:t>ального жилищного строительства</w:t>
      </w:r>
      <w:proofErr w:type="gramStart"/>
      <w:r w:rsidRPr="00E67581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>в следующих размерах</w:t>
      </w:r>
      <w:r w:rsidRPr="0031321E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2"/>
        <w:gridCol w:w="3779"/>
      </w:tblGrid>
      <w:tr w:rsidR="00EF0E95" w:rsidTr="00C93A7A">
        <w:tc>
          <w:tcPr>
            <w:tcW w:w="6062" w:type="dxa"/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Кадастровая стоимость объекта</w:t>
            </w:r>
          </w:p>
        </w:tc>
        <w:tc>
          <w:tcPr>
            <w:tcW w:w="3934" w:type="dxa"/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Ставка налога</w:t>
            </w:r>
          </w:p>
        </w:tc>
      </w:tr>
      <w:tr w:rsidR="00EF0E95" w:rsidTr="00C93A7A">
        <w:trPr>
          <w:trHeight w:val="149"/>
        </w:trPr>
        <w:tc>
          <w:tcPr>
            <w:tcW w:w="6062" w:type="dxa"/>
            <w:tcBorders>
              <w:bottom w:val="single" w:sz="4" w:space="0" w:color="auto"/>
            </w:tcBorders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До 2,5мл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р</w:t>
            </w:r>
            <w:proofErr w:type="gramEnd"/>
            <w:r>
              <w:rPr>
                <w:rFonts w:cstheme="minorHAnsi"/>
              </w:rPr>
              <w:t>ублей ( включительно)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0,1процент</w:t>
            </w:r>
          </w:p>
        </w:tc>
      </w:tr>
      <w:tr w:rsidR="00EF0E95" w:rsidTr="00C93A7A">
        <w:trPr>
          <w:trHeight w:val="189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Свыше 2,5мл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р</w:t>
            </w:r>
            <w:proofErr w:type="gramEnd"/>
            <w:r>
              <w:rPr>
                <w:rFonts w:cstheme="minorHAnsi"/>
              </w:rPr>
              <w:t>ублей до 5,0 мл. рублей ( включительно)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0,2процента</w:t>
            </w:r>
          </w:p>
        </w:tc>
      </w:tr>
      <w:tr w:rsidR="00EF0E95" w:rsidTr="00C93A7A">
        <w:trPr>
          <w:trHeight w:val="238"/>
        </w:trPr>
        <w:tc>
          <w:tcPr>
            <w:tcW w:w="6062" w:type="dxa"/>
            <w:tcBorders>
              <w:top w:val="single" w:sz="4" w:space="0" w:color="auto"/>
            </w:tcBorders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Свыше 5,0 мил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р</w:t>
            </w:r>
            <w:proofErr w:type="gramEnd"/>
            <w:r>
              <w:rPr>
                <w:rFonts w:cstheme="minorHAnsi"/>
              </w:rPr>
              <w:t>ублей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F0E95" w:rsidRDefault="00EF0E95" w:rsidP="00C93A7A">
            <w:pPr>
              <w:tabs>
                <w:tab w:val="left" w:pos="29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0,3процента</w:t>
            </w:r>
          </w:p>
        </w:tc>
      </w:tr>
    </w:tbl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 w:rsidRPr="0031321E">
        <w:rPr>
          <w:rFonts w:cstheme="minorHAnsi"/>
        </w:rPr>
        <w:t xml:space="preserve"> </w:t>
      </w:r>
      <w:r>
        <w:rPr>
          <w:rFonts w:cstheme="minorHAnsi"/>
        </w:rPr>
        <w:t xml:space="preserve">2.2.Гаражей и </w:t>
      </w:r>
      <w:proofErr w:type="spellStart"/>
      <w:r>
        <w:rPr>
          <w:rFonts w:cstheme="minorHAnsi"/>
        </w:rPr>
        <w:t>машино</w:t>
      </w:r>
      <w:proofErr w:type="spellEnd"/>
      <w:r>
        <w:rPr>
          <w:rFonts w:cstheme="minorHAnsi"/>
        </w:rPr>
        <w:t>-мест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в </w:t>
      </w:r>
      <w:proofErr w:type="spellStart"/>
      <w:r>
        <w:rPr>
          <w:rFonts w:cstheme="minorHAnsi"/>
        </w:rPr>
        <w:t>т.ч</w:t>
      </w:r>
      <w:proofErr w:type="spellEnd"/>
      <w:r>
        <w:rPr>
          <w:rFonts w:cstheme="minorHAnsi"/>
        </w:rPr>
        <w:t xml:space="preserve">. расположенных в объектах налогообложения  ,указанных в подпункте 2.2 п.2 ст406 главы 32 Налогового кодекса Российской Федерации – в размере </w:t>
      </w:r>
      <w:r w:rsidRPr="00FB0B04">
        <w:rPr>
          <w:rFonts w:cstheme="minorHAnsi"/>
          <w:b/>
        </w:rPr>
        <w:t>0,1 процента</w:t>
      </w:r>
      <w:r>
        <w:rPr>
          <w:rFonts w:cstheme="minorHAnsi"/>
        </w:rPr>
        <w:t xml:space="preserve"> кадастровой стоимости объекта налогообложения.</w:t>
      </w: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>2.3 О</w:t>
      </w:r>
      <w:r w:rsidRPr="0031321E">
        <w:rPr>
          <w:rFonts w:cstheme="minorHAnsi"/>
        </w:rPr>
        <w:t>бъектов незавершенного строительства в случае, если проектируемым назначением так</w:t>
      </w:r>
      <w:r>
        <w:rPr>
          <w:rFonts w:cstheme="minorHAnsi"/>
        </w:rPr>
        <w:t xml:space="preserve">их объектов является жилой дом </w:t>
      </w:r>
      <w:proofErr w:type="gramStart"/>
      <w:r>
        <w:rPr>
          <w:rFonts w:cstheme="minorHAnsi"/>
        </w:rPr>
        <w:t>-в</w:t>
      </w:r>
      <w:proofErr w:type="gramEnd"/>
      <w:r>
        <w:rPr>
          <w:rFonts w:cstheme="minorHAnsi"/>
        </w:rPr>
        <w:t xml:space="preserve"> размере </w:t>
      </w:r>
      <w:r w:rsidRPr="00FB0B04">
        <w:rPr>
          <w:rFonts w:cstheme="minorHAnsi"/>
          <w:b/>
        </w:rPr>
        <w:t>0,3 процента</w:t>
      </w:r>
      <w:r>
        <w:rPr>
          <w:rFonts w:cstheme="minorHAnsi"/>
        </w:rPr>
        <w:t xml:space="preserve"> кадастровой стоимости объекта налогообложения.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proofErr w:type="gramStart"/>
      <w:r>
        <w:rPr>
          <w:rFonts w:cstheme="minorHAnsi"/>
        </w:rPr>
        <w:t>2.4.</w:t>
      </w:r>
      <w:r w:rsidRPr="0031321E">
        <w:rPr>
          <w:rFonts w:cstheme="minorHAnsi"/>
          <w:b/>
        </w:rPr>
        <w:t>В  размере 2, 0  процентов в отношении</w:t>
      </w:r>
      <w:r w:rsidRPr="0031321E">
        <w:rPr>
          <w:rFonts w:cstheme="minorHAnsi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 в отношении объектов налогообложения, предусмотренных </w:t>
      </w:r>
      <w:r w:rsidRPr="0031321E">
        <w:rPr>
          <w:rFonts w:cstheme="minorHAnsi"/>
        </w:rPr>
        <w:lastRenderedPageBreak/>
        <w:t xml:space="preserve">абзацем вторым пункта 10 статьи 378.2 Налогового кодекса Российской Федерации, а также в отношении объектов налогообложения,  кадастровая стоимость  объекта стоимость каждого из которых превышает 300 миллионов рублей, </w:t>
      </w:r>
      <w:proofErr w:type="gramEnd"/>
    </w:p>
    <w:p w:rsidR="00EF0E95" w:rsidRDefault="00EF0E95" w:rsidP="00EF0E95">
      <w:pPr>
        <w:tabs>
          <w:tab w:val="left" w:pos="2968"/>
        </w:tabs>
        <w:rPr>
          <w:rFonts w:cstheme="minorHAnsi"/>
        </w:rPr>
      </w:pPr>
    </w:p>
    <w:p w:rsidR="00EF0E95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>2.5.</w:t>
      </w:r>
      <w:r w:rsidRPr="0031321E">
        <w:rPr>
          <w:rFonts w:cstheme="minorHAnsi"/>
          <w:b/>
        </w:rPr>
        <w:t>В размере 0,5 процента в отношении</w:t>
      </w:r>
      <w:r>
        <w:rPr>
          <w:rFonts w:cstheme="minorHAnsi"/>
        </w:rPr>
        <w:t xml:space="preserve"> прочих объектов налогообло</w:t>
      </w:r>
      <w:r w:rsidRPr="0031321E">
        <w:rPr>
          <w:rFonts w:cstheme="minorHAnsi"/>
        </w:rPr>
        <w:t>жения</w:t>
      </w:r>
      <w:r>
        <w:rPr>
          <w:rFonts w:cstheme="minorHAnsi"/>
        </w:rPr>
        <w:t>.</w:t>
      </w:r>
    </w:p>
    <w:p w:rsidR="00EF0E95" w:rsidRDefault="00EF0E95" w:rsidP="00EF0E95">
      <w:pPr>
        <w:tabs>
          <w:tab w:val="left" w:pos="2968"/>
        </w:tabs>
        <w:rPr>
          <w:rFonts w:cstheme="minorHAnsi"/>
        </w:rPr>
      </w:pPr>
    </w:p>
    <w:p w:rsidR="00EF0E95" w:rsidRDefault="00EF0E95" w:rsidP="00EF0E95">
      <w:pPr>
        <w:pStyle w:val="a4"/>
        <w:rPr>
          <w:b/>
        </w:rPr>
      </w:pPr>
      <w:r>
        <w:rPr>
          <w:rFonts w:cstheme="minorHAnsi"/>
          <w:sz w:val="24"/>
          <w:szCs w:val="24"/>
        </w:rPr>
        <w:t>3.Признать не действительным</w:t>
      </w:r>
      <w:r w:rsidRPr="003132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Решение </w:t>
      </w:r>
      <w:proofErr w:type="spellStart"/>
      <w:r>
        <w:rPr>
          <w:rFonts w:cstheme="minorHAnsi"/>
          <w:sz w:val="24"/>
          <w:szCs w:val="24"/>
        </w:rPr>
        <w:t>Мужиновского</w:t>
      </w:r>
      <w:proofErr w:type="spellEnd"/>
      <w:r>
        <w:rPr>
          <w:rFonts w:cstheme="minorHAnsi"/>
          <w:sz w:val="24"/>
          <w:szCs w:val="24"/>
        </w:rPr>
        <w:t xml:space="preserve"> сельского  Совета народных депутатов № 37-3 от 18.06.  2019</w:t>
      </w:r>
      <w:r w:rsidRPr="0031321E">
        <w:rPr>
          <w:rFonts w:cstheme="minorHAnsi"/>
          <w:sz w:val="24"/>
          <w:szCs w:val="24"/>
        </w:rPr>
        <w:t xml:space="preserve"> года «</w:t>
      </w:r>
      <w:r w:rsidRPr="00FF1DE5">
        <w:rPr>
          <w:b/>
        </w:rPr>
        <w:t xml:space="preserve"> </w:t>
      </w:r>
      <w:r w:rsidRPr="0031321E">
        <w:rPr>
          <w:b/>
        </w:rPr>
        <w:t xml:space="preserve">О внесении изменений в Решение </w:t>
      </w:r>
      <w:proofErr w:type="spellStart"/>
      <w:r w:rsidRPr="0031321E">
        <w:rPr>
          <w:b/>
        </w:rPr>
        <w:t>Мужиновского</w:t>
      </w:r>
      <w:proofErr w:type="spellEnd"/>
      <w:r w:rsidRPr="0031321E">
        <w:rPr>
          <w:b/>
        </w:rPr>
        <w:t xml:space="preserve"> сельского</w:t>
      </w:r>
    </w:p>
    <w:p w:rsidR="00EF0E95" w:rsidRPr="0031321E" w:rsidRDefault="00EF0E95" w:rsidP="00EF0E95">
      <w:pPr>
        <w:pStyle w:val="a4"/>
        <w:rPr>
          <w:b/>
        </w:rPr>
      </w:pPr>
      <w:r w:rsidRPr="0031321E">
        <w:rPr>
          <w:b/>
        </w:rPr>
        <w:t xml:space="preserve"> Совета народных депутатов №10-1</w:t>
      </w:r>
      <w:r>
        <w:rPr>
          <w:b/>
        </w:rPr>
        <w:t xml:space="preserve"> </w:t>
      </w:r>
      <w:r w:rsidRPr="0031321E">
        <w:rPr>
          <w:b/>
        </w:rPr>
        <w:t xml:space="preserve"> от19.11.2015г «О налоге на имущество физических лиц»</w:t>
      </w:r>
      <w:proofErr w:type="gramStart"/>
      <w:r w:rsidRPr="0031321E">
        <w:rPr>
          <w:b/>
        </w:rPr>
        <w:t xml:space="preserve"> </w:t>
      </w:r>
      <w:r>
        <w:rPr>
          <w:b/>
        </w:rPr>
        <w:t>.</w:t>
      </w:r>
      <w:proofErr w:type="gramEnd"/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 xml:space="preserve"> 4</w:t>
      </w:r>
      <w:r w:rsidRPr="0031321E">
        <w:rPr>
          <w:rFonts w:cstheme="minorHAnsi"/>
        </w:rPr>
        <w:t xml:space="preserve">.Настоящее решение вступает в силу </w:t>
      </w:r>
      <w:r>
        <w:rPr>
          <w:rFonts w:cstheme="minorHAnsi"/>
        </w:rPr>
        <w:t xml:space="preserve"> с 1 января 2020г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но </w:t>
      </w:r>
      <w:r w:rsidRPr="0031321E">
        <w:rPr>
          <w:rFonts w:cstheme="minorHAnsi"/>
        </w:rPr>
        <w:t>не ранее чем по истечении одного месяца со дня его оф</w:t>
      </w:r>
      <w:r>
        <w:rPr>
          <w:rFonts w:cstheme="minorHAnsi"/>
        </w:rPr>
        <w:t>ициального опубликования и распространяется на правоотношения ,возникшие с 1 января 2017года</w:t>
      </w:r>
      <w:r w:rsidRPr="0031321E">
        <w:rPr>
          <w:rFonts w:cstheme="minorHAnsi"/>
        </w:rPr>
        <w:t>.</w:t>
      </w:r>
    </w:p>
    <w:p w:rsidR="00EF0E95" w:rsidRPr="0031321E" w:rsidRDefault="00EF0E95" w:rsidP="00EF0E95">
      <w:pPr>
        <w:tabs>
          <w:tab w:val="left" w:pos="2968"/>
        </w:tabs>
        <w:rPr>
          <w:rFonts w:cstheme="minorHAnsi"/>
        </w:rPr>
      </w:pPr>
      <w:r>
        <w:rPr>
          <w:rFonts w:cstheme="minorHAnsi"/>
        </w:rPr>
        <w:t>5</w:t>
      </w:r>
      <w:r w:rsidRPr="0031321E">
        <w:rPr>
          <w:rFonts w:cstheme="minorHAnsi"/>
        </w:rPr>
        <w:t>. Опубликоват</w:t>
      </w:r>
      <w:proofErr w:type="gramStart"/>
      <w:r w:rsidRPr="0031321E">
        <w:rPr>
          <w:rFonts w:cstheme="minorHAnsi"/>
        </w:rPr>
        <w:t>ь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 xml:space="preserve"> обнародовать)</w:t>
      </w:r>
      <w:r w:rsidRPr="0031321E">
        <w:rPr>
          <w:rFonts w:cstheme="minorHAnsi"/>
        </w:rPr>
        <w:t xml:space="preserve"> настоящее решение в </w:t>
      </w:r>
      <w:r>
        <w:rPr>
          <w:rFonts w:cstheme="minorHAnsi"/>
        </w:rPr>
        <w:t xml:space="preserve">сборнике муниципальных правовых актов </w:t>
      </w:r>
      <w:proofErr w:type="spellStart"/>
      <w:r>
        <w:rPr>
          <w:rFonts w:cstheme="minorHAnsi"/>
        </w:rPr>
        <w:t>Мужиновского</w:t>
      </w:r>
      <w:proofErr w:type="spellEnd"/>
      <w:r>
        <w:rPr>
          <w:rFonts w:cstheme="minorHAnsi"/>
        </w:rPr>
        <w:t xml:space="preserve"> сельского поселения.</w:t>
      </w:r>
    </w:p>
    <w:p w:rsidR="00EF0E95" w:rsidRDefault="00EF0E95" w:rsidP="00EF0E95">
      <w:pPr>
        <w:rPr>
          <w:rFonts w:cstheme="minorHAnsi"/>
        </w:rPr>
      </w:pPr>
    </w:p>
    <w:p w:rsidR="00EF0E95" w:rsidRDefault="00EF0E95" w:rsidP="00EF0E95">
      <w:pPr>
        <w:rPr>
          <w:rFonts w:cstheme="minorHAnsi"/>
        </w:rPr>
      </w:pPr>
    </w:p>
    <w:p w:rsidR="00EF0E95" w:rsidRDefault="00EF0E95" w:rsidP="00EF0E95">
      <w:pPr>
        <w:pStyle w:val="a4"/>
      </w:pPr>
      <w:r>
        <w:t xml:space="preserve">Глава </w:t>
      </w:r>
      <w:proofErr w:type="spellStart"/>
      <w:r>
        <w:t>Мужиновского</w:t>
      </w:r>
      <w:proofErr w:type="spellEnd"/>
    </w:p>
    <w:p w:rsidR="00EF0E95" w:rsidRPr="0031321E" w:rsidRDefault="00EF0E95" w:rsidP="00EF0E95">
      <w:pPr>
        <w:pStyle w:val="a4"/>
      </w:pPr>
      <w:r>
        <w:t>сельского поселения:</w:t>
      </w:r>
      <w:r w:rsidRPr="0031321E">
        <w:t xml:space="preserve">                             </w:t>
      </w:r>
      <w:r>
        <w:t xml:space="preserve">                                          </w:t>
      </w:r>
      <w:r w:rsidRPr="0031321E">
        <w:t xml:space="preserve">                </w:t>
      </w:r>
      <w:r>
        <w:t xml:space="preserve">Е.В. </w:t>
      </w:r>
      <w:proofErr w:type="spellStart"/>
      <w:r>
        <w:t>Бабичева</w:t>
      </w:r>
      <w:proofErr w:type="spellEnd"/>
    </w:p>
    <w:p w:rsidR="00EF0E95" w:rsidRDefault="00EF0E95" w:rsidP="00EF0E95">
      <w:pPr>
        <w:pStyle w:val="a4"/>
      </w:pPr>
    </w:p>
    <w:p w:rsidR="00EF0E95" w:rsidRDefault="00EF0E95" w:rsidP="00EF0E95">
      <w:pPr>
        <w:pStyle w:val="a4"/>
      </w:pPr>
    </w:p>
    <w:p w:rsidR="00EF0E95" w:rsidRDefault="00EF0E95" w:rsidP="00EF0E95">
      <w:pPr>
        <w:pStyle w:val="a4"/>
      </w:pPr>
    </w:p>
    <w:p w:rsidR="00EF0E95" w:rsidRPr="003E6448" w:rsidRDefault="00EF0E95" w:rsidP="00EF0E95">
      <w:pPr>
        <w:tabs>
          <w:tab w:val="left" w:pos="7797"/>
        </w:tabs>
        <w:rPr>
          <w:szCs w:val="28"/>
        </w:rPr>
      </w:pPr>
    </w:p>
    <w:p w:rsidR="009B64A0" w:rsidRPr="00EF0E95" w:rsidRDefault="009B64A0" w:rsidP="00EF0E95">
      <w:bookmarkStart w:id="0" w:name="_GoBack"/>
      <w:bookmarkEnd w:id="0"/>
    </w:p>
    <w:sectPr w:rsidR="009B64A0" w:rsidRPr="00EF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B"/>
    <w:rsid w:val="0092469B"/>
    <w:rsid w:val="009A7576"/>
    <w:rsid w:val="009B64A0"/>
    <w:rsid w:val="00E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57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F0E9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F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57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F0E9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F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2020-02-19T13:20:00Z</dcterms:created>
  <dcterms:modified xsi:type="dcterms:W3CDTF">2020-02-19T13:24:00Z</dcterms:modified>
</cp:coreProperties>
</file>