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33" w:rsidRDefault="00732EC2" w:rsidP="00732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Сводный отчёт</w:t>
      </w:r>
    </w:p>
    <w:p w:rsidR="00732EC2" w:rsidRDefault="00732EC2" w:rsidP="00732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 проведении оценки регулирующего воздействия</w:t>
      </w:r>
    </w:p>
    <w:p w:rsidR="00732EC2" w:rsidRDefault="00732EC2" w:rsidP="00732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проекта нормативного правового акта администрации</w:t>
      </w:r>
    </w:p>
    <w:p w:rsidR="00732EC2" w:rsidRDefault="00732EC2" w:rsidP="00732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Клетнянского района</w:t>
      </w:r>
    </w:p>
    <w:p w:rsidR="00732EC2" w:rsidRDefault="00732EC2" w:rsidP="00732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7092"/>
      </w:tblGrid>
      <w:tr w:rsidR="00732EC2" w:rsidTr="00732EC2">
        <w:trPr>
          <w:cantSplit/>
          <w:trHeight w:val="99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i/>
                <w:iCs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Сроки проведения публичного обсуждения проекта акта:</w:t>
            </w:r>
          </w:p>
          <w:p w:rsidR="00732EC2" w:rsidRDefault="00F60CB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начало: "11</w:t>
            </w:r>
            <w:r w:rsidR="00732EC2">
              <w:rPr>
                <w:rFonts w:ascii="Times New Roman" w:hAnsi="Times New Roman"/>
                <w:sz w:val="27"/>
                <w:szCs w:val="27"/>
                <w:lang w:eastAsia="ru-RU"/>
              </w:rPr>
              <w:t>"</w:t>
            </w:r>
            <w:r w:rsidR="00DC7703">
              <w:rPr>
                <w:rFonts w:ascii="Times New Roman" w:hAnsi="Times New Roman"/>
                <w:sz w:val="27"/>
                <w:szCs w:val="27"/>
                <w:lang w:eastAsia="ru-RU"/>
              </w:rPr>
              <w:t>мая</w:t>
            </w:r>
            <w:r w:rsidR="00732EC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20</w:t>
            </w:r>
            <w:r w:rsidR="00DC7703">
              <w:rPr>
                <w:rFonts w:ascii="Times New Roman" w:hAnsi="Times New Roman"/>
                <w:sz w:val="27"/>
                <w:szCs w:val="27"/>
                <w:lang w:eastAsia="ru-RU"/>
              </w:rPr>
              <w:t>21</w:t>
            </w:r>
            <w:r w:rsidR="00732EC2">
              <w:rPr>
                <w:rFonts w:ascii="Times New Roman" w:hAnsi="Times New Roman"/>
                <w:sz w:val="27"/>
                <w:szCs w:val="27"/>
                <w:lang w:eastAsia="ru-RU"/>
              </w:rPr>
              <w:t>г.;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окончание: "</w:t>
            </w:r>
            <w:r w:rsidR="00F60CB1">
              <w:rPr>
                <w:rFonts w:ascii="Times New Roman" w:hAnsi="Times New Roman"/>
                <w:sz w:val="27"/>
                <w:szCs w:val="27"/>
                <w:lang w:eastAsia="ru-RU"/>
              </w:rPr>
              <w:t>21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"</w:t>
            </w:r>
            <w:r w:rsidR="00DC7703">
              <w:rPr>
                <w:rFonts w:ascii="Times New Roman" w:hAnsi="Times New Roman"/>
                <w:sz w:val="27"/>
                <w:szCs w:val="27"/>
                <w:lang w:eastAsia="ru-RU"/>
              </w:rPr>
              <w:t>мая</w:t>
            </w:r>
            <w:r w:rsidR="00F60CB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20</w:t>
            </w:r>
            <w:r w:rsidR="00DC7703">
              <w:rPr>
                <w:rFonts w:ascii="Times New Roman" w:hAnsi="Times New Roman"/>
                <w:sz w:val="27"/>
                <w:szCs w:val="27"/>
                <w:lang w:eastAsia="ru-RU"/>
              </w:rPr>
              <w:t>21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  <w:p w:rsidR="00732EC2" w:rsidRPr="00732EC2" w:rsidRDefault="00732EC2" w:rsidP="0073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C2">
              <w:rPr>
                <w:rFonts w:ascii="Times New Roman" w:hAnsi="Times New Roman"/>
                <w:sz w:val="28"/>
                <w:szCs w:val="28"/>
              </w:rPr>
              <w:t>проведения оценки регулирующего воздействия проектов</w:t>
            </w:r>
            <w:r w:rsidRPr="00732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EC2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администрации Клетнянского района, затрагивающих вопросы осуществления предпринимательской и инвестиционной деятельности в </w:t>
            </w:r>
            <w:proofErr w:type="spellStart"/>
            <w:r w:rsidRPr="00732EC2">
              <w:rPr>
                <w:rFonts w:ascii="Times New Roman" w:hAnsi="Times New Roman"/>
                <w:sz w:val="28"/>
                <w:szCs w:val="28"/>
              </w:rPr>
              <w:t>Клетнянском</w:t>
            </w:r>
            <w:proofErr w:type="spellEnd"/>
            <w:r w:rsidRPr="00732EC2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</w:tbl>
    <w:p w:rsidR="00732EC2" w:rsidRDefault="00732EC2" w:rsidP="00732EC2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4"/>
        <w:gridCol w:w="4001"/>
      </w:tblGrid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Общая информация</w:t>
            </w: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1.1.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Структурное подразделение администрации Клетнянского района</w:t>
            </w:r>
          </w:p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(далее – разработчик):</w:t>
            </w:r>
          </w:p>
          <w:p w:rsidR="00732EC2" w:rsidRDefault="00732EC2" w:rsidP="00DC7703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i/>
                <w:iCs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Отдел экономического </w:t>
            </w:r>
            <w:r w:rsidR="00DC7703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развития </w:t>
            </w: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администрации Клетнянского района</w:t>
            </w: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1.2.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Сведения о структурных подразделениях администрации Клетнянского </w:t>
            </w:r>
            <w:proofErr w:type="gram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района  –</w:t>
            </w:r>
            <w:proofErr w:type="gram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соисполнителях:</w:t>
            </w:r>
          </w:p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нет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98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1.3.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Вид и наименование проекта акта:</w:t>
            </w:r>
          </w:p>
          <w:p w:rsidR="00732EC2" w:rsidRPr="00732EC2" w:rsidRDefault="00732EC2" w:rsidP="00732EC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32EC2">
              <w:rPr>
                <w:rFonts w:ascii="Times New Roman" w:hAnsi="Times New Roman"/>
                <w:sz w:val="28"/>
                <w:szCs w:val="28"/>
              </w:rPr>
              <w:t>Постановление администрации Клетнянского района</w:t>
            </w:r>
          </w:p>
          <w:p w:rsidR="00DC7703" w:rsidRPr="009E572C" w:rsidRDefault="00DC7703" w:rsidP="00DC77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0B263A">
              <w:rPr>
                <w:sz w:val="28"/>
                <w:szCs w:val="28"/>
              </w:rPr>
              <w:t xml:space="preserve"> </w:t>
            </w:r>
            <w:r w:rsidRPr="009E572C">
              <w:rPr>
                <w:sz w:val="28"/>
                <w:szCs w:val="28"/>
              </w:rPr>
              <w:t>«</w:t>
            </w:r>
            <w:r w:rsidRPr="009E572C">
              <w:rPr>
                <w:rFonts w:ascii="Times New Roman" w:eastAsia="Times New Roman" w:hAnsi="Times New Roman"/>
                <w:bCs/>
                <w:sz w:val="28"/>
                <w:szCs w:val="28"/>
              </w:rPr>
              <w:t>Об утверждении Порядка</w:t>
            </w:r>
            <w:r w:rsidRPr="009E572C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E57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предоставления субсидий из бюджета </w:t>
            </w:r>
          </w:p>
          <w:p w:rsidR="00732EC2" w:rsidRDefault="00DC7703" w:rsidP="00DC7703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E572C">
              <w:rPr>
                <w:rFonts w:ascii="Times New Roman" w:eastAsia="Times New Roman" w:hAnsi="Times New Roman"/>
                <w:bCs/>
                <w:sz w:val="28"/>
                <w:szCs w:val="28"/>
              </w:rPr>
              <w:t>Клетнянского муниципального района</w:t>
            </w:r>
            <w:r w:rsidRPr="009E572C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E572C">
              <w:rPr>
                <w:rFonts w:ascii="Times New Roman" w:eastAsia="Times New Roman" w:hAnsi="Times New Roman"/>
                <w:bCs/>
                <w:sz w:val="28"/>
                <w:szCs w:val="28"/>
              </w:rPr>
              <w:t>на компенсацию части потерь в доходах, возникающих в результате регулирования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E572C">
              <w:rPr>
                <w:rFonts w:ascii="Times New Roman" w:eastAsia="Times New Roman" w:hAnsi="Times New Roman"/>
                <w:bCs/>
                <w:sz w:val="28"/>
                <w:szCs w:val="28"/>
              </w:rPr>
              <w:t>тарифов на перевозку пассажиров автомобильным транспортом по муниципальным</w:t>
            </w:r>
            <w:r w:rsidRPr="009E572C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E572C">
              <w:rPr>
                <w:rFonts w:ascii="Times New Roman" w:eastAsia="Times New Roman" w:hAnsi="Times New Roman"/>
                <w:bCs/>
                <w:sz w:val="28"/>
                <w:szCs w:val="28"/>
              </w:rPr>
              <w:t>маршрутам регулярных перевозок</w:t>
            </w:r>
            <w:r w:rsidRPr="009E572C">
              <w:rPr>
                <w:rFonts w:eastAsia="Times New Roman"/>
                <w:bCs/>
                <w:sz w:val="28"/>
                <w:szCs w:val="28"/>
              </w:rPr>
              <w:t>»</w:t>
            </w:r>
          </w:p>
        </w:tc>
      </w:tr>
      <w:tr w:rsidR="00732EC2" w:rsidTr="00200C5B">
        <w:trPr>
          <w:cantSplit/>
          <w:trHeight w:val="141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1.4.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732EC2" w:rsidRPr="008D06BC" w:rsidRDefault="008D06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8D06BC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Описание </w:t>
            </w: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условий получения субсидий, отчетности и контроля за целевым использованием субсидий из районного бюджета</w:t>
            </w:r>
          </w:p>
        </w:tc>
      </w:tr>
      <w:tr w:rsidR="00732EC2" w:rsidTr="00200C5B">
        <w:trPr>
          <w:cantSplit/>
          <w:trHeight w:val="298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lastRenderedPageBreak/>
                    <w:t>1.5.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Основание для разработки проекта акта:</w:t>
            </w:r>
          </w:p>
          <w:p w:rsidR="00DC7703" w:rsidRDefault="00F60CB1" w:rsidP="00EE7745">
            <w:pPr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Проект </w:t>
            </w:r>
            <w:r w:rsidR="008D06BC" w:rsidRPr="008D06B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сессии</w:t>
            </w:r>
            <w:r w:rsidR="008D06BC" w:rsidRPr="00431E31">
              <w:rPr>
                <w:rFonts w:ascii="Times New Roman" w:hAnsi="Times New Roman"/>
                <w:sz w:val="28"/>
                <w:szCs w:val="28"/>
              </w:rPr>
              <w:t xml:space="preserve"> Клетнянского районного Совета народных депутатов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6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8D06BC" w:rsidRPr="001C35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3164E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«</w:t>
            </w:r>
            <w:proofErr w:type="spellStart"/>
            <w:r w:rsidR="0093164E"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 w:rsidR="0093164E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 на </w:t>
            </w:r>
            <w:r w:rsidR="00DC7703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93164E">
              <w:rPr>
                <w:rFonts w:ascii="Times New Roman" w:hAnsi="Times New Roman"/>
                <w:sz w:val="28"/>
                <w:szCs w:val="28"/>
              </w:rPr>
              <w:t>год и плановый период»</w:t>
            </w:r>
            <w:r w:rsidR="008D06BC">
              <w:rPr>
                <w:rFonts w:ascii="Times New Roman" w:hAnsi="Times New Roman"/>
                <w:sz w:val="28"/>
                <w:szCs w:val="28"/>
              </w:rPr>
              <w:t xml:space="preserve">, а также изменение условий </w:t>
            </w:r>
            <w:r w:rsidR="008D06BC" w:rsidRPr="008D06B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получения субсидий, отчетности и контроля за целевым использованием субсидий из районного бюджета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исполнение требований, утвержденных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Постановлением Правительства Российской Федерации </w:t>
            </w:r>
            <w:r w:rsidR="00EE77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E7745">
              <w:t xml:space="preserve"> </w:t>
            </w:r>
            <w:r w:rsidR="00EE7745" w:rsidRPr="007B0C53">
              <w:rPr>
                <w:rFonts w:ascii="Times New Roman" w:hAnsi="Times New Roman"/>
                <w:sz w:val="28"/>
                <w:szCs w:val="28"/>
              </w:rPr>
              <w:t>18 сентября 2020 г.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r w:rsidR="00EE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745" w:rsidRPr="007B0C53">
              <w:rPr>
                <w:rFonts w:ascii="Times New Roman" w:hAnsi="Times New Roman"/>
                <w:sz w:val="28"/>
                <w:szCs w:val="28"/>
              </w:rPr>
              <w:t>положений некоторых актов Правительства Российской Федерации"</w:t>
            </w: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rPr>
                <w:trHeight w:val="77"/>
              </w:trPr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1.6.</w:t>
                  </w:r>
                </w:p>
              </w:tc>
            </w:tr>
          </w:tbl>
          <w:p w:rsidR="00732EC2" w:rsidRDefault="00732EC2" w:rsidP="008D06BC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Краткое описание целей предлагаемого регулирования:</w:t>
            </w:r>
          </w:p>
          <w:p w:rsidR="00F60CB1" w:rsidRPr="008D06BC" w:rsidRDefault="00F60CB1" w:rsidP="008D06BC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F60CB1">
              <w:rPr>
                <w:rFonts w:ascii="Times New Roman" w:hAnsi="Times New Roman"/>
                <w:bCs/>
                <w:sz w:val="28"/>
                <w:szCs w:val="28"/>
              </w:rPr>
              <w:t>омпенсаци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F60CB1">
              <w:rPr>
                <w:rFonts w:ascii="Times New Roman" w:hAnsi="Times New Roman"/>
                <w:bCs/>
                <w:sz w:val="28"/>
                <w:szCs w:val="28"/>
              </w:rPr>
              <w:t xml:space="preserve"> части потерь в доходах, возникающих в результате регулирования тарифов на перевозку пассажиров автомобильным транспортом по муниципальным маршрутам регулярных перевозок</w:t>
            </w:r>
          </w:p>
          <w:p w:rsidR="00732EC2" w:rsidRPr="008D06BC" w:rsidRDefault="00732EC2" w:rsidP="00F60C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1.7.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Краткое описание предлагаемого способа регулирования:</w:t>
            </w:r>
          </w:p>
          <w:p w:rsidR="00EE7745" w:rsidRPr="00EE7745" w:rsidRDefault="008D06BC" w:rsidP="00EE77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Утверждение нового Порядка предоставления субсидий из районного бюджета взамен </w:t>
            </w:r>
            <w:r w:rsidR="00F60CB1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утвержденного </w:t>
            </w:r>
            <w:r w:rsidR="00D05307">
              <w:rPr>
                <w:sz w:val="26"/>
                <w:szCs w:val="26"/>
              </w:rPr>
              <w:t xml:space="preserve">от </w:t>
            </w:r>
            <w:r w:rsidR="00EE7745" w:rsidRPr="00EE7745">
              <w:rPr>
                <w:rFonts w:ascii="Times New Roman" w:hAnsi="Times New Roman"/>
                <w:sz w:val="26"/>
                <w:szCs w:val="26"/>
              </w:rPr>
              <w:t>28</w:t>
            </w:r>
            <w:r w:rsidR="00D05307" w:rsidRPr="00EE7745">
              <w:rPr>
                <w:rFonts w:ascii="Times New Roman" w:hAnsi="Times New Roman"/>
                <w:sz w:val="26"/>
                <w:szCs w:val="26"/>
              </w:rPr>
              <w:t>.</w:t>
            </w:r>
            <w:r w:rsidR="00F60CB1" w:rsidRPr="00EE7745">
              <w:rPr>
                <w:rFonts w:ascii="Times New Roman" w:hAnsi="Times New Roman"/>
                <w:sz w:val="26"/>
                <w:szCs w:val="26"/>
              </w:rPr>
              <w:t>1</w:t>
            </w:r>
            <w:r w:rsidR="00EE7745" w:rsidRPr="00EE7745">
              <w:rPr>
                <w:rFonts w:ascii="Times New Roman" w:hAnsi="Times New Roman"/>
                <w:sz w:val="26"/>
                <w:szCs w:val="26"/>
              </w:rPr>
              <w:t>1</w:t>
            </w:r>
            <w:r w:rsidR="00D05307" w:rsidRPr="00EE7745">
              <w:rPr>
                <w:rFonts w:ascii="Times New Roman" w:hAnsi="Times New Roman"/>
                <w:sz w:val="26"/>
                <w:szCs w:val="26"/>
              </w:rPr>
              <w:t>. 201</w:t>
            </w:r>
            <w:r w:rsidR="00EE7745" w:rsidRPr="00EE7745">
              <w:rPr>
                <w:rFonts w:ascii="Times New Roman" w:hAnsi="Times New Roman"/>
                <w:sz w:val="26"/>
                <w:szCs w:val="26"/>
              </w:rPr>
              <w:t>9</w:t>
            </w:r>
            <w:r w:rsidR="00D05307" w:rsidRPr="00EE7745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EE7745">
              <w:rPr>
                <w:rFonts w:ascii="Times New Roman" w:hAnsi="Times New Roman"/>
                <w:sz w:val="26"/>
                <w:szCs w:val="26"/>
              </w:rPr>
              <w:t>833</w:t>
            </w:r>
            <w:r w:rsidR="00D05307" w:rsidRPr="00EE77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7745">
              <w:rPr>
                <w:rFonts w:ascii="Times New Roman" w:hAnsi="Times New Roman"/>
                <w:sz w:val="26"/>
                <w:szCs w:val="26"/>
              </w:rPr>
              <w:t>«</w:t>
            </w:r>
            <w:r w:rsidR="00EE7745"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 утверждении Положения о порядке предоставления субсидий из бюджета </w:t>
            </w:r>
          </w:p>
          <w:p w:rsidR="00EE7745" w:rsidRPr="00EE7745" w:rsidRDefault="00EE7745" w:rsidP="00EE77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>Клетнянский</w:t>
            </w:r>
            <w:proofErr w:type="spellEnd"/>
            <w:r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муниципальный район»</w:t>
            </w:r>
          </w:p>
          <w:p w:rsidR="00EE7745" w:rsidRPr="00EE7745" w:rsidRDefault="00EE7745" w:rsidP="00EE77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>на компенсацию части потерь в доходах, возникающих в результате регулирования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тарифов на перевозку пассажиров </w:t>
            </w:r>
          </w:p>
          <w:p w:rsidR="00EE7745" w:rsidRPr="00EE7745" w:rsidRDefault="00EE7745" w:rsidP="00EE77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автомобильным транспортом по муниципальным маршрутам регулярных перевозок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  <w:p w:rsidR="00732EC2" w:rsidRDefault="00732EC2" w:rsidP="00EE7745">
            <w:pPr>
              <w:jc w:val="both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4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1.8.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Контактная информация исполнителя разработчика:</w:t>
            </w:r>
          </w:p>
          <w:p w:rsidR="008D06BC" w:rsidRDefault="008D06BC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4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 w:rsidP="00EE7745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Ф.И.О., должность: </w:t>
            </w:r>
            <w:r w:rsidR="00200C5B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Тихонова Ирина Валериевна</w:t>
            </w:r>
            <w:r w:rsidR="00200C5B">
              <w:rPr>
                <w:rFonts w:ascii="Times New Roman" w:hAnsi="Times New Roman"/>
                <w:sz w:val="27"/>
                <w:szCs w:val="27"/>
                <w:lang w:eastAsia="ru-RU"/>
              </w:rPr>
              <w:t>,</w:t>
            </w:r>
            <w:r w:rsidR="00F60CB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EE7745">
              <w:rPr>
                <w:rFonts w:ascii="Times New Roman" w:hAnsi="Times New Roman"/>
                <w:sz w:val="27"/>
                <w:szCs w:val="27"/>
                <w:lang w:eastAsia="ru-RU"/>
              </w:rPr>
              <w:t>специалист 1 категории отдела экономического развития</w:t>
            </w:r>
          </w:p>
        </w:tc>
      </w:tr>
      <w:tr w:rsidR="00732EC2" w:rsidTr="00200C5B">
        <w:trPr>
          <w:cantSplit/>
          <w:trHeight w:val="8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Pr="004F01BF" w:rsidRDefault="00732EC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Телефон, адрес электронной</w:t>
            </w:r>
            <w:r w:rsidR="004F01B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почты: 9-19-06,</w:t>
            </w:r>
            <w:r w:rsidR="004F01BF" w:rsidRPr="004F01B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4F01BF">
              <w:rPr>
                <w:rFonts w:ascii="Times New Roman" w:hAnsi="Times New Roman"/>
                <w:sz w:val="27"/>
                <w:szCs w:val="27"/>
                <w:lang w:val="en-US" w:eastAsia="ru-RU"/>
              </w:rPr>
              <w:t>klet</w:t>
            </w:r>
            <w:proofErr w:type="spellEnd"/>
            <w:r w:rsidR="004F01BF" w:rsidRPr="004F01BF">
              <w:rPr>
                <w:rFonts w:ascii="Times New Roman" w:hAnsi="Times New Roman"/>
                <w:sz w:val="27"/>
                <w:szCs w:val="27"/>
                <w:lang w:eastAsia="ru-RU"/>
              </w:rPr>
              <w:t>-2007@</w:t>
            </w:r>
            <w:proofErr w:type="spellStart"/>
            <w:r w:rsidR="004F01BF">
              <w:rPr>
                <w:rFonts w:ascii="Times New Roman" w:hAnsi="Times New Roman"/>
                <w:sz w:val="27"/>
                <w:szCs w:val="27"/>
                <w:lang w:val="en-US" w:eastAsia="ru-RU"/>
              </w:rPr>
              <w:t>yandex</w:t>
            </w:r>
            <w:proofErr w:type="spellEnd"/>
            <w:r w:rsidR="004F01BF" w:rsidRPr="004F01BF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  <w:proofErr w:type="spellStart"/>
            <w:r w:rsidR="004F01BF">
              <w:rPr>
                <w:rFonts w:ascii="Times New Roman" w:hAnsi="Times New Roman"/>
                <w:sz w:val="27"/>
                <w:szCs w:val="27"/>
                <w:lang w:val="en-US" w:eastAsia="ru-RU"/>
              </w:rPr>
              <w:t>ru</w:t>
            </w:r>
            <w:proofErr w:type="spellEnd"/>
          </w:p>
        </w:tc>
      </w:tr>
      <w:tr w:rsidR="00732EC2" w:rsidTr="00200C5B">
        <w:trPr>
          <w:cantSplit/>
          <w:trHeight w:val="80"/>
        </w:trPr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80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Степень регулирующего воздействия проекта акта</w:t>
            </w:r>
          </w:p>
        </w:tc>
      </w:tr>
      <w:tr w:rsidR="00732EC2" w:rsidTr="00200C5B">
        <w:trPr>
          <w:cantSplit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Pr="004F01BF" w:rsidRDefault="00732EC2" w:rsidP="004F01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4F01BF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средняя </w:t>
            </w:r>
          </w:p>
        </w:tc>
      </w:tr>
      <w:tr w:rsidR="00732EC2" w:rsidTr="00200C5B">
        <w:trPr>
          <w:cantSplit/>
          <w:trHeight w:val="11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Pr="004F01BF" w:rsidRDefault="00732EC2" w:rsidP="004F01B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Обоснование отнесения проекта акта к определенной ст</w:t>
            </w:r>
            <w:r w:rsidR="004F01BF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епени регулирующего воздействия</w:t>
            </w:r>
          </w:p>
          <w:p w:rsidR="00EE7745" w:rsidRPr="00EE7745" w:rsidRDefault="004F01BF" w:rsidP="00EE77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F01BF">
              <w:rPr>
                <w:rFonts w:ascii="Times New Roman" w:hAnsi="Times New Roman"/>
                <w:kern w:val="32"/>
                <w:sz w:val="28"/>
                <w:szCs w:val="28"/>
              </w:rPr>
              <w:t>проект содержит положения, изменяющие ранее предусмотренные</w:t>
            </w:r>
            <w:r>
              <w:rPr>
                <w:rFonts w:ascii="Times New Roman" w:hAnsi="Times New Roman"/>
                <w:kern w:val="32"/>
                <w:sz w:val="28"/>
                <w:szCs w:val="28"/>
              </w:rPr>
              <w:t xml:space="preserve"> </w:t>
            </w:r>
            <w:r w:rsidRPr="008D06B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06BC">
              <w:rPr>
                <w:rFonts w:ascii="Times New Roman" w:hAnsi="Times New Roman"/>
                <w:sz w:val="28"/>
                <w:szCs w:val="28"/>
              </w:rPr>
              <w:t xml:space="preserve"> администрации Клетнянского района </w:t>
            </w:r>
            <w:r w:rsidR="00EE7745">
              <w:rPr>
                <w:sz w:val="26"/>
                <w:szCs w:val="26"/>
              </w:rPr>
              <w:t xml:space="preserve">от </w:t>
            </w:r>
            <w:r w:rsidR="00EE7745" w:rsidRPr="00EE7745">
              <w:rPr>
                <w:rFonts w:ascii="Times New Roman" w:hAnsi="Times New Roman"/>
                <w:sz w:val="26"/>
                <w:szCs w:val="26"/>
              </w:rPr>
              <w:t>28.11. 2019 года №</w:t>
            </w:r>
            <w:r w:rsidR="00EE7745">
              <w:rPr>
                <w:rFonts w:ascii="Times New Roman" w:hAnsi="Times New Roman"/>
                <w:sz w:val="26"/>
                <w:szCs w:val="26"/>
              </w:rPr>
              <w:t>833</w:t>
            </w:r>
            <w:r w:rsidR="00EE7745" w:rsidRPr="00EE77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7745">
              <w:rPr>
                <w:rFonts w:ascii="Times New Roman" w:hAnsi="Times New Roman"/>
                <w:sz w:val="26"/>
                <w:szCs w:val="26"/>
              </w:rPr>
              <w:t>«</w:t>
            </w:r>
            <w:r w:rsidR="00EE7745"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 утверждении Положения о порядке предоставления субсидий из бюджета </w:t>
            </w:r>
          </w:p>
          <w:p w:rsidR="00EE7745" w:rsidRPr="00EE7745" w:rsidRDefault="00EE7745" w:rsidP="00EE77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>Клетнянский</w:t>
            </w:r>
            <w:proofErr w:type="spellEnd"/>
            <w:r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муниципальный район»</w:t>
            </w:r>
          </w:p>
          <w:p w:rsidR="00EE7745" w:rsidRPr="00EE7745" w:rsidRDefault="00EE7745" w:rsidP="00EE77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>на компенсацию части потерь в доходах, возникающих в результате регулирования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тарифов на перевозку пассажиров </w:t>
            </w:r>
          </w:p>
          <w:p w:rsidR="00EE7745" w:rsidRPr="00EE7745" w:rsidRDefault="00EE7745" w:rsidP="00EE77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7745"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автомобильным транспортом по муниципальным маршрутам регулярных перевозок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  <w:p w:rsidR="004F01BF" w:rsidRDefault="00D05307" w:rsidP="004F01B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частности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дополнены условия получения субсидии:</w:t>
            </w:r>
            <w:r w:rsidR="004F0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EC2" w:rsidRDefault="00F60CB1" w:rsidP="00EE7745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Порядка приведена в соответствие с Постановлением </w:t>
            </w:r>
            <w:r w:rsidR="00D71D9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Правительства Российской Федерации от </w:t>
            </w:r>
            <w:r w:rsidR="00EE7745" w:rsidRPr="007B0C53">
              <w:rPr>
                <w:rFonts w:ascii="Times New Roman" w:hAnsi="Times New Roman"/>
                <w:sz w:val="28"/>
                <w:szCs w:val="28"/>
              </w:rPr>
              <w:t>18 сентября 2020 г.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r w:rsidR="00EE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745" w:rsidRPr="007B0C53">
              <w:rPr>
                <w:rFonts w:ascii="Times New Roman" w:hAnsi="Times New Roman"/>
                <w:sz w:val="28"/>
                <w:szCs w:val="28"/>
              </w:rPr>
              <w:t>положений некоторых актов Правительства Российской Федерации"</w:t>
            </w:r>
          </w:p>
        </w:tc>
      </w:tr>
      <w:tr w:rsidR="00732EC2" w:rsidTr="00D24413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D24413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732EC2" w:rsidTr="00D24413">
        <w:trPr>
          <w:cantSplit/>
          <w:trHeight w:val="618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32EC2" w:rsidRPr="00BB4EC1" w:rsidRDefault="00BB4EC1" w:rsidP="00BB4EC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Изменение и дополнение </w:t>
            </w:r>
            <w:r w:rsidR="004F01BF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условий получения субсидий, отчетности и контроля за целевым использовани</w:t>
            </w: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ем субсидий из районного бюджет</w:t>
            </w:r>
            <w:r w:rsidR="00D71D93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а</w:t>
            </w:r>
          </w:p>
          <w:p w:rsidR="00732EC2" w:rsidRDefault="00732EC2" w:rsidP="00BB4EC1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D24413">
        <w:trPr>
          <w:cantSplit/>
          <w:trHeight w:val="109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Негативные эффекты, возникающие в связи с наличием проблемы:</w:t>
            </w:r>
          </w:p>
          <w:p w:rsidR="00732EC2" w:rsidRDefault="00BB4EC1" w:rsidP="00BB4EC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D24413">
        <w:trPr>
          <w:cantSplit/>
          <w:trHeight w:val="571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Pr="00BB4EC1" w:rsidRDefault="00732EC2" w:rsidP="00BB4EC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BB4EC1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нет</w:t>
            </w:r>
          </w:p>
        </w:tc>
      </w:tr>
      <w:tr w:rsidR="00732EC2" w:rsidTr="00D24413">
        <w:trPr>
          <w:cantSplit/>
          <w:trHeight w:val="1268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732EC2" w:rsidRDefault="00BB4EC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D24413">
        <w:trPr>
          <w:cantSplit/>
          <w:trHeight w:val="36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</w:p>
          <w:p w:rsidR="00732EC2" w:rsidRDefault="00BB4EC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D24413">
        <w:trPr>
          <w:cantSplit/>
          <w:trHeight w:val="36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Иная информация о проблеме:</w:t>
            </w:r>
          </w:p>
          <w:p w:rsidR="00732EC2" w:rsidRPr="00BB4EC1" w:rsidRDefault="00BB4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BB4EC1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нет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32EC2" w:rsidRDefault="00732EC2" w:rsidP="00732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732EC2" w:rsidTr="00732EC2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Анализ опыта других муниципальных образований в соответствующих сферах деятельности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6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 w:rsidP="00225E5B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Опыт других муниципальных образований в соответствующих сферах деятельности: </w:t>
            </w:r>
            <w:r w:rsidR="00225E5B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аналогичный</w:t>
            </w:r>
          </w:p>
        </w:tc>
      </w:tr>
      <w:tr w:rsidR="00732EC2" w:rsidTr="00732EC2">
        <w:trPr>
          <w:cantSplit/>
          <w:trHeight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6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Pr="00225E5B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  <w:r w:rsidR="00225E5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225E5B" w:rsidRPr="00225E5B">
              <w:rPr>
                <w:rFonts w:ascii="Times New Roman" w:hAnsi="Times New Roman"/>
                <w:bCs/>
                <w:sz w:val="28"/>
                <w:szCs w:val="28"/>
              </w:rPr>
              <w:t>информация, размещенная на сайте регионов Российской Федерации, в правовой системе Консультант Плюс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1"/>
        <w:gridCol w:w="237"/>
        <w:gridCol w:w="1986"/>
        <w:gridCol w:w="708"/>
        <w:gridCol w:w="284"/>
        <w:gridCol w:w="198"/>
        <w:gridCol w:w="2775"/>
        <w:gridCol w:w="6"/>
      </w:tblGrid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34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Клетнянского районного Совета народных депутатов и администрации Клетнянского района</w:t>
            </w:r>
          </w:p>
        </w:tc>
      </w:tr>
      <w:tr w:rsidR="00732EC2" w:rsidTr="00732EC2">
        <w:trPr>
          <w:cantSplit/>
          <w:trHeight w:val="298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2"/>
            </w:tblGrid>
            <w:tr w:rsidR="00732EC2">
              <w:tc>
                <w:tcPr>
                  <w:tcW w:w="782" w:type="dxa"/>
                </w:tcPr>
                <w:p w:rsidR="00732EC2" w:rsidRDefault="00732EC2" w:rsidP="00732EC2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1026" w:hanging="993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Цели предлагаемого регулирования: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2"/>
            </w:tblGrid>
            <w:tr w:rsidR="00732EC2">
              <w:tc>
                <w:tcPr>
                  <w:tcW w:w="782" w:type="dxa"/>
                </w:tcPr>
                <w:p w:rsidR="00732EC2" w:rsidRDefault="00732EC2" w:rsidP="00732EC2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Установленные сроки достижения целей предлагаемого регулирования:</w:t>
            </w:r>
          </w:p>
        </w:tc>
      </w:tr>
      <w:tr w:rsidR="00732EC2" w:rsidTr="00732EC2">
        <w:trPr>
          <w:cantSplit/>
          <w:trHeight w:val="298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93" w:rsidRPr="008D06BC" w:rsidRDefault="00D71D93" w:rsidP="00D71D93">
            <w:pPr>
              <w:keepNext/>
              <w:spacing w:after="0" w:line="240" w:lineRule="auto"/>
              <w:ind w:hanging="74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F60CB1">
              <w:rPr>
                <w:rFonts w:ascii="Times New Roman" w:hAnsi="Times New Roman"/>
                <w:bCs/>
                <w:sz w:val="28"/>
                <w:szCs w:val="28"/>
              </w:rPr>
              <w:t>омпенсаци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F60CB1">
              <w:rPr>
                <w:rFonts w:ascii="Times New Roman" w:hAnsi="Times New Roman"/>
                <w:bCs/>
                <w:sz w:val="28"/>
                <w:szCs w:val="28"/>
              </w:rPr>
              <w:t xml:space="preserve"> части потерь в доходах, возникающих в результате регулирования тарифов на перевозку пассажиров автомобильным транспортом по муниципальным маршрутам регулярных перевозок</w:t>
            </w:r>
          </w:p>
          <w:p w:rsidR="00225E5B" w:rsidRDefault="00225E5B" w:rsidP="00D71D93">
            <w:pPr>
              <w:pStyle w:val="a8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25E5B" w:rsidRDefault="00225E5B" w:rsidP="00943D20">
            <w:pPr>
              <w:spacing w:after="0" w:line="240" w:lineRule="auto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225E5B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20</w:t>
            </w:r>
            <w:r w:rsidR="00D71D93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2</w:t>
            </w:r>
            <w:r w:rsidR="00943D20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1</w:t>
            </w:r>
            <w:r w:rsidR="00285A2B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 </w:t>
            </w:r>
            <w:r w:rsidRPr="00225E5B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год</w:t>
            </w:r>
          </w:p>
        </w:tc>
      </w:tr>
      <w:tr w:rsidR="00732EC2" w:rsidTr="00732EC2">
        <w:trPr>
          <w:cantSplit/>
          <w:trHeight w:val="298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Клетнянского районного Совета народных депутатов и администрации Клетнянского района</w:t>
            </w:r>
          </w:p>
          <w:p w:rsidR="00732EC2" w:rsidRDefault="0037698E" w:rsidP="00943D20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Соответствие </w:t>
            </w:r>
            <w:r w:rsidR="00D71D9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43D20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943D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Правительства Российской Федерации </w:t>
            </w:r>
            <w:r w:rsidR="00943D20" w:rsidRPr="007B0C53">
              <w:rPr>
                <w:rFonts w:ascii="Times New Roman" w:hAnsi="Times New Roman"/>
                <w:sz w:val="28"/>
                <w:szCs w:val="28"/>
              </w:rPr>
              <w:t>18 сентября 2020 г.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r w:rsidR="00943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D20" w:rsidRPr="007B0C53">
              <w:rPr>
                <w:rFonts w:ascii="Times New Roman" w:hAnsi="Times New Roman"/>
                <w:sz w:val="28"/>
                <w:szCs w:val="28"/>
              </w:rPr>
              <w:t>положений некоторых актов Правительства Российской Федерации"</w:t>
            </w:r>
          </w:p>
        </w:tc>
      </w:tr>
      <w:tr w:rsidR="00732EC2" w:rsidTr="00732EC2">
        <w:trPr>
          <w:cantSplit/>
          <w:trHeight w:val="565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pBdr>
                <w:bottom w:val="single" w:sz="12" w:space="1" w:color="auto"/>
              </w:pBdr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Иная информация о целях предлагаемого регулирования:</w:t>
            </w:r>
          </w:p>
          <w:p w:rsidR="00732EC2" w:rsidRDefault="0037698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995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D71D93" w:rsidRPr="008D06BC" w:rsidRDefault="00993826" w:rsidP="00D71D93">
            <w:pPr>
              <w:keepNext/>
              <w:spacing w:after="0" w:line="240" w:lineRule="auto"/>
              <w:ind w:hanging="74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Предлагаемый способ</w:t>
            </w:r>
            <w:r w:rsidR="00D71D9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- </w:t>
            </w:r>
            <w:r w:rsidR="00D71D93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D71D93" w:rsidRPr="00F60CB1">
              <w:rPr>
                <w:rFonts w:ascii="Times New Roman" w:hAnsi="Times New Roman"/>
                <w:bCs/>
                <w:sz w:val="28"/>
                <w:szCs w:val="28"/>
              </w:rPr>
              <w:t>омпенсаци</w:t>
            </w:r>
            <w:r w:rsidR="00D71D93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D71D93" w:rsidRPr="00F60CB1">
              <w:rPr>
                <w:rFonts w:ascii="Times New Roman" w:hAnsi="Times New Roman"/>
                <w:bCs/>
                <w:sz w:val="28"/>
                <w:szCs w:val="28"/>
              </w:rPr>
              <w:t xml:space="preserve"> части потерь в доходах, возникающих в результате регулирования тарифов на перевозку пассажиров автомобильным транспортом по муниципальным маршрутам регулярных перевозок</w:t>
            </w:r>
          </w:p>
          <w:p w:rsidR="00732EC2" w:rsidRDefault="00732EC2" w:rsidP="00D71D93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540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732EC2" w:rsidRPr="007A4ADF" w:rsidRDefault="007A4A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7A4ADF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cantSplit/>
          <w:trHeight w:val="540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Обоснование выбора предлагаемого способа решения проблемы:</w:t>
            </w:r>
          </w:p>
          <w:p w:rsidR="00732EC2" w:rsidRPr="00BB4EC1" w:rsidRDefault="007A4ADF" w:rsidP="00D71D93">
            <w:pPr>
              <w:keepNext/>
              <w:ind w:left="884" w:hanging="851"/>
              <w:jc w:val="both"/>
              <w:outlineLvl w:val="0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7A4ADF">
              <w:rPr>
                <w:rFonts w:ascii="Times New Roman" w:hAnsi="Times New Roman"/>
                <w:iCs/>
                <w:sz w:val="28"/>
                <w:szCs w:val="28"/>
              </w:rPr>
              <w:t>является оптимальным, так как способствует установлению четких критериев предоставления субсидий</w:t>
            </w:r>
            <w:r w:rsidR="00D71D93">
              <w:rPr>
                <w:rFonts w:ascii="Times New Roman" w:hAnsi="Times New Roman"/>
                <w:iCs/>
                <w:sz w:val="28"/>
                <w:szCs w:val="28"/>
              </w:rPr>
              <w:t xml:space="preserve"> перевозчикам пассажиров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</w:t>
            </w: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Иная информация о предлагаемом способе решения проблемы:</w:t>
            </w:r>
          </w:p>
          <w:p w:rsidR="00732EC2" w:rsidRDefault="00BB4EC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ind w:left="360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732EC2" w:rsidTr="00732EC2">
        <w:trPr>
          <w:cantSplit/>
          <w:trHeight w:val="111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9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9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732EC2" w:rsidTr="00732EC2">
        <w:trPr>
          <w:cantSplit/>
          <w:trHeight w:val="877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(Описание группы субъектов предпринимательской и инвестиционной деятельности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BB4EC1" w:rsidRPr="007A4ADF" w:rsidRDefault="00D71D93" w:rsidP="00943D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юридические лица, индивидуальные предприниматели, получившие право на выполнение работ, связанных с осуществлением регулярных перевозок пассажиров и багажа автомобильным транспортом на муниципальных маршрутах регулярных перевозок в </w:t>
            </w:r>
            <w:proofErr w:type="spellStart"/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>Клетнянском</w:t>
            </w:r>
            <w:proofErr w:type="spellEnd"/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по регулируемым тарифам, на основании заключенного муниципального контракта по результатам проведенной процедуры </w:t>
            </w:r>
            <w:r w:rsidR="00943D20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электронного аукциона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BB4EC1" w:rsidRDefault="00D71D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неограниченно</w:t>
            </w:r>
          </w:p>
        </w:tc>
      </w:tr>
      <w:tr w:rsidR="00732EC2" w:rsidTr="00732EC2">
        <w:trPr>
          <w:cantSplit/>
          <w:trHeight w:val="866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(Описание иной группы участников отношений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7A4ADF" w:rsidRDefault="007A4A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cantSplit/>
          <w:trHeight w:val="360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9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Источники данных:</w:t>
            </w:r>
          </w:p>
          <w:p w:rsidR="00732EC2" w:rsidRDefault="007A4ADF" w:rsidP="00D71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Отдела экономического анализа, прогнозирования и цен администрации Клетнянского района</w:t>
            </w: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Новые функции, полномочия, обязанности и права исполнительно-распорядительных органов местного самоуправления или их изменение, а также порядок их реализации</w:t>
            </w:r>
          </w:p>
        </w:tc>
      </w:tr>
      <w:tr w:rsidR="00732EC2" w:rsidTr="00732EC2">
        <w:trPr>
          <w:cantSplit/>
          <w:trHeight w:val="25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i/>
                <w:iCs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Порядок реализации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Оценка изменения трудозатрат и (или) потребностей в иных ресурсах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251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 w:rsidP="00943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органа: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Отдела экономического </w:t>
            </w:r>
            <w:r w:rsidR="00943D2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развития 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администрации Клетнянского района</w:t>
            </w:r>
          </w:p>
        </w:tc>
      </w:tr>
      <w:tr w:rsidR="00732EC2" w:rsidTr="00732EC2">
        <w:trPr>
          <w:cantSplit/>
          <w:trHeight w:val="25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="00993826"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25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K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gridAfter w:val="1"/>
          <w:wAfter w:w="6" w:type="dxa"/>
          <w:cantSplit/>
          <w:trHeight w:val="566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gridAfter w:val="1"/>
          <w:wAfter w:w="6" w:type="dxa"/>
          <w:cantSplit/>
          <w:trHeight w:val="566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Оценка соответствующих расходов (возможных поступлений) бюджета Клетнянского района</w:t>
            </w:r>
          </w:p>
        </w:tc>
      </w:tr>
      <w:tr w:rsidR="00732EC2" w:rsidTr="00732EC2">
        <w:trPr>
          <w:gridAfter w:val="1"/>
          <w:wAfter w:w="6" w:type="dxa"/>
          <w:cantSplit/>
          <w:trHeight w:val="95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новой или изменяемой функции, полномочия, обязанности или права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1"/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Описание видов расходов (возможных поступлений) бюджета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rPr>
                <w:trHeight w:val="336"/>
              </w:trPr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Количественная оценка расходов (возможных поступлений)</w:t>
            </w:r>
          </w:p>
        </w:tc>
      </w:tr>
      <w:tr w:rsidR="00732EC2" w:rsidTr="00732EC2">
        <w:trPr>
          <w:gridAfter w:val="1"/>
          <w:wAfter w:w="6" w:type="dxa"/>
          <w:cantSplit/>
          <w:trHeight w:val="9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71"/>
            </w:tblGrid>
            <w:tr w:rsidR="00732EC2">
              <w:trPr>
                <w:trHeight w:val="336"/>
              </w:trPr>
              <w:tc>
                <w:tcPr>
                  <w:tcW w:w="571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993826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органа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: 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>Отдела экономического анализа, прогнозирования и цен администрации Клетнянского района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32EC2" w:rsidTr="00732EC2">
        <w:trPr>
          <w:gridAfter w:val="1"/>
          <w:wAfter w:w="6" w:type="dxa"/>
          <w:cantSplit/>
          <w:trHeight w:val="44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(N.K)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732EC2">
              <w:tc>
                <w:tcPr>
                  <w:tcW w:w="988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Единовременные расходы в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___</w:t>
            </w:r>
            <w:proofErr w:type="gramStart"/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_(</w:t>
            </w:r>
            <w:proofErr w:type="gramEnd"/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год возникновения)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D71D93">
        <w:trPr>
          <w:gridAfter w:val="1"/>
          <w:wAfter w:w="6" w:type="dxa"/>
          <w:cantSplit/>
          <w:trHeight w:val="94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P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732EC2">
              <w:tc>
                <w:tcPr>
                  <w:tcW w:w="988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Периодические расходы за период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____________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D71D93">
        <w:trPr>
          <w:gridAfter w:val="1"/>
          <w:wAfter w:w="6" w:type="dxa"/>
          <w:cantSplit/>
          <w:trHeight w:val="94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en-US" w:eastAsia="ru-RU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732EC2">
              <w:tc>
                <w:tcPr>
                  <w:tcW w:w="988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Возможные поступления за период _____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______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cantSplit/>
          <w:trHeight w:val="269"/>
        </w:trPr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Итого единовременные расходы: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C2" w:rsidRDefault="009938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trHeight w:val="269"/>
        </w:trPr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Итого периодические расходы за год: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cantSplit/>
          <w:trHeight w:val="215"/>
        </w:trPr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Итого возможные поступления за год: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cantSplit/>
          <w:trHeight w:val="18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943D20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Иные сведения о расходах (возможных поступлениях) бюджета Клетнянск</w:t>
            </w:r>
            <w:r w:rsidR="00943D20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ого</w:t>
            </w: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муниципальн</w:t>
            </w:r>
            <w:r w:rsidR="00943D20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ого</w:t>
            </w: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район</w:t>
            </w:r>
            <w:r w:rsidR="00943D20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а</w:t>
            </w:r>
            <w:r w:rsidR="00993826"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 нет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32EC2" w:rsidTr="00732EC2">
        <w:trPr>
          <w:gridAfter w:val="1"/>
          <w:wAfter w:w="6" w:type="dxa"/>
          <w:cantSplit/>
          <w:trHeight w:val="18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Pr="00993826" w:rsidRDefault="00732EC2" w:rsidP="00993826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нет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3622"/>
        <w:gridCol w:w="267"/>
        <w:gridCol w:w="2535"/>
      </w:tblGrid>
      <w:tr w:rsidR="00732EC2" w:rsidTr="00732EC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</w:tc>
      </w:tr>
      <w:tr w:rsidR="00732EC2" w:rsidTr="00732EC2">
        <w:trPr>
          <w:cantSplit/>
          <w:trHeight w:val="52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1"/>
                    </w:num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Группа участников отношений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3"/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1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1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Порядок организации исполнения обязанностей и ограничений</w:t>
            </w:r>
          </w:p>
        </w:tc>
      </w:tr>
      <w:tr w:rsidR="00732EC2" w:rsidTr="00732EC2">
        <w:trPr>
          <w:cantSplit/>
          <w:trHeight w:val="107"/>
        </w:trPr>
        <w:tc>
          <w:tcPr>
            <w:tcW w:w="14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(Группа участников отношений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993826" w:rsidRPr="00D71D93" w:rsidRDefault="00D71D93" w:rsidP="00D9489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юридические лица, индивидуальные предприниматели, получившие право на выполнение работ, связанных с осуществлением регулярных перевозок пассажиров и багажа автомобильным транспортом на муниципальных маршрутах регулярных перевозок в </w:t>
            </w:r>
            <w:proofErr w:type="spellStart"/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>Клетнянском</w:t>
            </w:r>
            <w:proofErr w:type="spellEnd"/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по регулируемым тарифам, на основании заключенного муниципального контракта по результатам проведенной процедуры </w:t>
            </w:r>
            <w:r w:rsidR="00D94891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электронного аукциона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N.1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="00993826"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N.K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EC2" w:rsidRDefault="00732EC2">
            <w:pPr>
              <w:spacing w:after="0" w:line="240" w:lineRule="auto"/>
              <w:ind w:left="60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732EC2" w:rsidTr="00732EC2">
        <w:trPr>
          <w:cantSplit/>
          <w:trHeight w:val="89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Группа участников отношений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4"/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val="en-US"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5"/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и оценка видов расходов</w:t>
            </w:r>
          </w:p>
        </w:tc>
      </w:tr>
      <w:tr w:rsidR="00732EC2" w:rsidTr="00732EC2">
        <w:trPr>
          <w:cantSplit/>
          <w:trHeight w:val="267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(Группа участников отношений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D94891" w:rsidRDefault="00D9489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юридические лица, индивидуальные предприниматели, получившие право на выполнение работ, связанных с осуществлением регулярных перевозок пассажиров и багажа автомобильным транспортом на муниципальных маршрутах регулярных перевозок в </w:t>
            </w:r>
            <w:proofErr w:type="spellStart"/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>Клетнянском</w:t>
            </w:r>
            <w:proofErr w:type="spellEnd"/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по регулируемым тарифам</w:t>
            </w:r>
          </w:p>
          <w:p w:rsidR="00993826" w:rsidRDefault="009938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N.</w:t>
            </w:r>
            <w:proofErr w:type="gramStart"/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нет</w:t>
            </w:r>
            <w:proofErr w:type="gram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</w:rPr>
            </w:pPr>
          </w:p>
        </w:tc>
      </w:tr>
      <w:tr w:rsidR="00732EC2" w:rsidTr="00732EC2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N.K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</w:p>
          <w:p w:rsidR="00732EC2" w:rsidRDefault="00993826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отсутствуют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1733"/>
        <w:gridCol w:w="2802"/>
        <w:gridCol w:w="1334"/>
      </w:tblGrid>
      <w:tr w:rsidR="00732EC2" w:rsidTr="00732EC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732EC2" w:rsidTr="00732EC2">
        <w:trPr>
          <w:cantSplit/>
          <w:trHeight w:val="1136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Оценки вероятности наступления рисков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Степень контроля рисков</w:t>
            </w:r>
          </w:p>
        </w:tc>
      </w:tr>
      <w:tr w:rsidR="00732EC2" w:rsidTr="00732EC2">
        <w:trPr>
          <w:cantSplit/>
          <w:trHeight w:val="5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(Риск </w:t>
            </w:r>
            <w:proofErr w:type="gramStart"/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1)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нет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664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(Риск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84"/>
            </w:tblGrid>
            <w:tr w:rsidR="00732EC2">
              <w:trPr>
                <w:trHeight w:val="326"/>
              </w:trPr>
              <w:tc>
                <w:tcPr>
                  <w:tcW w:w="88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  <w:r w:rsidR="00993826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отсутствуют</w:t>
            </w:r>
          </w:p>
          <w:p w:rsidR="00732EC2" w:rsidRDefault="00732EC2" w:rsidP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__________________________________________________________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8"/>
        <w:gridCol w:w="1294"/>
        <w:gridCol w:w="503"/>
        <w:gridCol w:w="653"/>
        <w:gridCol w:w="1649"/>
        <w:gridCol w:w="705"/>
        <w:gridCol w:w="462"/>
        <w:gridCol w:w="1222"/>
        <w:gridCol w:w="20"/>
      </w:tblGrid>
      <w:tr w:rsidR="00732EC2" w:rsidTr="00D71D93">
        <w:trPr>
          <w:gridAfter w:val="1"/>
          <w:wAfter w:w="11" w:type="pct"/>
          <w:cantSplit/>
        </w:trPr>
        <w:tc>
          <w:tcPr>
            <w:tcW w:w="498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318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732EC2" w:rsidRDefault="00732EC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D71D93">
        <w:trPr>
          <w:cantSplit/>
          <w:trHeight w:val="2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D9489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7"/>
                <w:szCs w:val="27"/>
                <w:lang w:eastAsia="ru-RU"/>
              </w:rPr>
              <w:t xml:space="preserve">Предполагаемая дата вступления в силу проекта акта: </w:t>
            </w:r>
            <w:r w:rsidR="00993826">
              <w:rPr>
                <w:rFonts w:ascii="Times New Roman" w:hAnsi="Times New Roman"/>
                <w:spacing w:val="-8"/>
                <w:sz w:val="27"/>
                <w:szCs w:val="27"/>
                <w:lang w:eastAsia="ru-RU"/>
              </w:rPr>
              <w:t xml:space="preserve">с </w:t>
            </w:r>
            <w:r w:rsidR="00D71D93">
              <w:rPr>
                <w:rFonts w:ascii="Times New Roman" w:hAnsi="Times New Roman"/>
                <w:spacing w:val="-8"/>
                <w:sz w:val="27"/>
                <w:szCs w:val="27"/>
                <w:lang w:eastAsia="ru-RU"/>
              </w:rPr>
              <w:t>01.01.202</w:t>
            </w:r>
            <w:r w:rsidR="00D94891">
              <w:rPr>
                <w:rFonts w:ascii="Times New Roman" w:hAnsi="Times New Roman"/>
                <w:spacing w:val="-8"/>
                <w:sz w:val="27"/>
                <w:szCs w:val="27"/>
                <w:lang w:eastAsia="ru-RU"/>
              </w:rPr>
              <w:t>1</w:t>
            </w:r>
            <w:r w:rsidR="00D71D93">
              <w:rPr>
                <w:rFonts w:ascii="Times New Roman" w:hAnsi="Times New Roman"/>
                <w:spacing w:val="-8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D2660F" w:rsidTr="00D71D93">
        <w:trPr>
          <w:cantSplit/>
          <w:trHeight w:val="251"/>
        </w:trPr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ind w:left="885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7"/>
                <w:szCs w:val="27"/>
                <w:lang w:eastAsia="ru-RU"/>
              </w:rPr>
              <w:t>введения предлагаемого регулирования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нет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срок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(если есть необходимость):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(дней с момента принятия проекта нормативного правового акта)</w:t>
            </w:r>
          </w:p>
        </w:tc>
      </w:tr>
      <w:tr w:rsidR="00D2660F" w:rsidTr="00D71D93">
        <w:trPr>
          <w:cantSplit/>
          <w:trHeight w:val="251"/>
        </w:trPr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ind w:left="885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p w:rsidR="00732EC2" w:rsidRDefault="00D71D93" w:rsidP="009938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срок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(если есть необходимость):</w:t>
            </w:r>
          </w:p>
          <w:p w:rsidR="00D2660F" w:rsidRDefault="00D2660F" w:rsidP="00DF1B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180" w:lineRule="exact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(дней до момента вступления в силу проекта нормативного правового акта)</w:t>
            </w:r>
          </w:p>
        </w:tc>
      </w:tr>
      <w:tr w:rsidR="00732EC2" w:rsidTr="00D71D93">
        <w:trPr>
          <w:cantSplit/>
          <w:trHeight w:val="14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D71D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D71D9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32EC2" w:rsidTr="00D71D93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318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732EC2" w:rsidRDefault="00732EC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D2660F" w:rsidTr="00D71D93">
        <w:trPr>
          <w:cantSplit/>
          <w:trHeight w:val="251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D71D93">
            <w:pPr>
              <w:keepNext/>
              <w:spacing w:after="0" w:line="240" w:lineRule="auto"/>
              <w:ind w:left="1202" w:hanging="817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Мероприятия, необходимые для достижения целей регулирования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мероприя</w:t>
            </w:r>
            <w:proofErr w:type="spellEnd"/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тий</w:t>
            </w:r>
            <w:proofErr w:type="spellEnd"/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ожидаемого результата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финансиро</w:t>
            </w:r>
            <w:proofErr w:type="spellEnd"/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вания</w:t>
            </w:r>
            <w:proofErr w:type="spellEnd"/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</w:t>
            </w:r>
            <w:proofErr w:type="spellEnd"/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ки</w:t>
            </w:r>
            <w:proofErr w:type="spell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финанси</w:t>
            </w:r>
            <w:proofErr w:type="spellEnd"/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рования</w:t>
            </w:r>
            <w:proofErr w:type="spellEnd"/>
          </w:p>
        </w:tc>
      </w:tr>
      <w:tr w:rsidR="00D2660F" w:rsidTr="00D71D93">
        <w:trPr>
          <w:cantSplit/>
          <w:trHeight w:val="251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F" w:rsidRDefault="00D2660F" w:rsidP="00D2660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D2660F">
              <w:rPr>
                <w:rFonts w:ascii="Times New Roman" w:hAnsi="Times New Roman"/>
                <w:iCs/>
                <w:sz w:val="28"/>
                <w:szCs w:val="28"/>
              </w:rPr>
              <w:t xml:space="preserve">Размещение информации на официальном сайте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администрации Клетнянского </w:t>
            </w:r>
          </w:p>
          <w:p w:rsidR="00D2660F" w:rsidRPr="00D2660F" w:rsidRDefault="00D2660F" w:rsidP="00D2660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района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F" w:rsidRPr="00D2660F" w:rsidRDefault="00D2660F" w:rsidP="00D2660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2660F">
              <w:rPr>
                <w:rFonts w:ascii="Times New Roman" w:hAnsi="Times New Roman"/>
                <w:sz w:val="28"/>
                <w:szCs w:val="28"/>
              </w:rPr>
              <w:t>в течение 3 дней с момента подписания постановления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F" w:rsidRPr="00C50C60" w:rsidRDefault="00D2660F" w:rsidP="00D71D93">
            <w:pPr>
              <w:autoSpaceDE w:val="0"/>
              <w:autoSpaceDN w:val="0"/>
              <w:adjustRightInd w:val="0"/>
              <w:ind w:right="-82"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 w:rsidRPr="00D2660F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F" w:rsidRDefault="00D2660F" w:rsidP="00D266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F" w:rsidRDefault="00D2660F" w:rsidP="00D266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D2660F" w:rsidTr="00D71D93">
        <w:trPr>
          <w:cantSplit/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D2660F" w:rsidTr="00D71D9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60F" w:rsidRDefault="00D2660F" w:rsidP="00D2660F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D2660F" w:rsidRDefault="00D2660F" w:rsidP="00D2660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D2660F" w:rsidRDefault="00D2660F" w:rsidP="00D71D93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</w:t>
            </w:r>
            <w:r w:rsidR="00D71D93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нет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6"/>
        <w:gridCol w:w="3003"/>
        <w:gridCol w:w="466"/>
        <w:gridCol w:w="710"/>
        <w:gridCol w:w="2619"/>
      </w:tblGrid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ind w:left="60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732EC2" w:rsidTr="00913E9A">
        <w:trPr>
          <w:cantSplit/>
          <w:trHeight w:val="914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Цели предлагаемого регулирования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6"/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rPr>
                <w:trHeight w:val="128"/>
              </w:trPr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Индикативные показатели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32"/>
            </w:tblGrid>
            <w:tr w:rsidR="00732EC2" w:rsidTr="00913E9A">
              <w:tc>
                <w:tcPr>
                  <w:tcW w:w="732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Способы расчета индикативных показателей</w:t>
            </w:r>
          </w:p>
        </w:tc>
      </w:tr>
      <w:tr w:rsidR="00732EC2" w:rsidTr="00D71D93">
        <w:trPr>
          <w:cantSplit/>
          <w:trHeight w:val="290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58" w:rsidRDefault="00D71D93" w:rsidP="00D71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Style w:val="20pt"/>
                <w:rFonts w:eastAsia="Calibri"/>
                <w:sz w:val="28"/>
                <w:szCs w:val="28"/>
              </w:rPr>
              <w:t xml:space="preserve">Контроль </w:t>
            </w:r>
            <w:r w:rsidRPr="007F294A">
              <w:rPr>
                <w:rStyle w:val="20pt"/>
                <w:rFonts w:eastAsia="Calibri"/>
                <w:sz w:val="28"/>
                <w:szCs w:val="28"/>
              </w:rPr>
              <w:t>фактическ</w:t>
            </w:r>
            <w:r>
              <w:rPr>
                <w:rStyle w:val="20pt"/>
                <w:rFonts w:eastAsia="Calibri"/>
                <w:sz w:val="28"/>
                <w:szCs w:val="28"/>
              </w:rPr>
              <w:t>ого</w:t>
            </w:r>
            <w:r w:rsidRPr="007F294A">
              <w:rPr>
                <w:rStyle w:val="20pt"/>
                <w:rFonts w:eastAsia="Calibri"/>
                <w:sz w:val="28"/>
                <w:szCs w:val="28"/>
              </w:rPr>
              <w:t xml:space="preserve"> пробег</w:t>
            </w:r>
            <w:r>
              <w:rPr>
                <w:rStyle w:val="20pt"/>
                <w:rFonts w:eastAsia="Calibri"/>
                <w:sz w:val="28"/>
                <w:szCs w:val="28"/>
              </w:rPr>
              <w:t>а</w:t>
            </w:r>
            <w:r w:rsidRPr="007F294A">
              <w:rPr>
                <w:rStyle w:val="20pt"/>
                <w:rFonts w:eastAsia="Calibri"/>
                <w:sz w:val="28"/>
                <w:szCs w:val="28"/>
              </w:rPr>
              <w:t xml:space="preserve"> маршрутной сети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 w:rsidP="004E2B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8" w:rsidRDefault="004E2B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913E9A">
        <w:trPr>
          <w:cantSplit/>
          <w:trHeight w:val="15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D71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 w:rsidRPr="007F294A">
              <w:rPr>
                <w:rStyle w:val="20pt"/>
                <w:rFonts w:eastAsia="Calibri"/>
                <w:sz w:val="28"/>
                <w:szCs w:val="28"/>
              </w:rPr>
              <w:t>фактический пробег маршрутной сети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D71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5122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Учет в путевых листах</w:t>
            </w:r>
          </w:p>
        </w:tc>
      </w:tr>
      <w:tr w:rsidR="00732EC2" w:rsidTr="00913E9A">
        <w:trPr>
          <w:cantSplit/>
          <w:trHeight w:val="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732EC2" w:rsidRPr="004E2B58" w:rsidRDefault="004E2B58" w:rsidP="00D94891">
            <w:pP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4E2B58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Ежегодный анализ эффективности муниципальных программ</w:t>
            </w: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 в соответствии с Постановлением администрации Клетнянского района </w:t>
            </w:r>
            <w:r w:rsidRPr="00FF3518">
              <w:rPr>
                <w:sz w:val="26"/>
                <w:szCs w:val="26"/>
              </w:rPr>
              <w:t xml:space="preserve">от </w:t>
            </w:r>
            <w:r w:rsidR="00D94891" w:rsidRPr="00D94891">
              <w:rPr>
                <w:rFonts w:ascii="Times New Roman" w:hAnsi="Times New Roman"/>
                <w:sz w:val="28"/>
                <w:szCs w:val="28"/>
              </w:rPr>
              <w:t>02.09.2020г.№506 «Об утверждении порядка разработки, реализации и оценки эффективности муниципальных программ Клетнянского муниципального района Брянской области»</w:t>
            </w:r>
          </w:p>
        </w:tc>
      </w:tr>
      <w:tr w:rsidR="00732EC2" w:rsidTr="00913E9A">
        <w:trPr>
          <w:cantSplit/>
          <w:trHeight w:val="153"/>
        </w:trPr>
        <w:tc>
          <w:tcPr>
            <w:tcW w:w="3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i/>
                <w:iCs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5122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913E9A">
        <w:trPr>
          <w:cantSplit/>
          <w:trHeight w:val="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источников информации для расчета индикаторов:</w:t>
            </w:r>
          </w:p>
          <w:p w:rsidR="00732EC2" w:rsidRDefault="0037698E" w:rsidP="005122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Статистическая </w:t>
            </w:r>
            <w:r w:rsidR="005122B5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,бухгалтерская</w:t>
            </w:r>
            <w:proofErr w:type="gramEnd"/>
            <w:r w:rsidR="005122B5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и налоговая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отчетность </w:t>
            </w:r>
            <w:r w:rsidR="005122B5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хозяйствующего субъекта-перевозчика</w:t>
            </w:r>
          </w:p>
        </w:tc>
      </w:tr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ind w:left="60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Иные необходимые, по мнению разработчика, сведения:</w:t>
            </w:r>
          </w:p>
          <w:p w:rsidR="00732EC2" w:rsidRDefault="004E2B58" w:rsidP="004E2B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913E9A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</w:p>
          <w:p w:rsidR="00732EC2" w:rsidRDefault="004E2B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отсутствуют</w:t>
            </w:r>
          </w:p>
        </w:tc>
      </w:tr>
    </w:tbl>
    <w:p w:rsidR="00732EC2" w:rsidRDefault="00732EC2" w:rsidP="00732EC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732EC2" w:rsidTr="00732EC2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>
            <w:pPr>
              <w:spacing w:after="0" w:line="240" w:lineRule="auto"/>
              <w:ind w:left="60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Сведения о проведении публичных консультаций по проекту акта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4E2B58">
            <w:pPr>
              <w:spacing w:line="36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Полный электронный адрес размещения проекта акта в информационно-телекоммуникационной сети "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Интернет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":</w:t>
            </w:r>
            <w:hyperlink r:id="rId7" w:history="1">
              <w:r w:rsidR="004E2B58"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www.adm-kletn</w:t>
              </w:r>
              <w:r w:rsidR="004E2B58"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ya</w:t>
              </w:r>
              <w:proofErr w:type="spellEnd"/>
              <w:r w:rsidR="004E2B58"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4E2B58"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ru</w:t>
              </w:r>
              <w:proofErr w:type="spellEnd"/>
              <w:proofErr w:type="gramEnd"/>
            </w:hyperlink>
            <w:r w:rsidR="004E2B58">
              <w:rPr>
                <w:rStyle w:val="aa"/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D94891" w:rsidRDefault="00732EC2" w:rsidP="00D9489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Срок, в течение которого разработчиком принимались предложения в связи с проведение</w:t>
            </w:r>
            <w:r w:rsidR="00D94891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</w:t>
            </w:r>
          </w:p>
          <w:p w:rsidR="00732EC2" w:rsidRDefault="00D94891" w:rsidP="00D94891">
            <w:pPr>
              <w:autoSpaceDE w:val="0"/>
              <w:autoSpaceDN w:val="0"/>
              <w:adjustRightInd w:val="0"/>
              <w:spacing w:after="0" w:line="312" w:lineRule="auto"/>
              <w:ind w:left="88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11мая</w:t>
            </w:r>
            <w:r w:rsidR="00732EC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21</w:t>
            </w:r>
            <w:r w:rsidR="005122B5">
              <w:rPr>
                <w:rFonts w:ascii="Times New Roman" w:hAnsi="Times New Roman"/>
                <w:sz w:val="27"/>
                <w:szCs w:val="27"/>
                <w:lang w:eastAsia="ru-RU"/>
              </w:rPr>
              <w:t>г</w:t>
            </w:r>
            <w:r w:rsidR="00732EC2">
              <w:rPr>
                <w:rFonts w:ascii="Times New Roman" w:hAnsi="Times New Roman"/>
                <w:sz w:val="27"/>
                <w:szCs w:val="27"/>
                <w:lang w:eastAsia="ru-RU"/>
              </w:rPr>
              <w:t>.;  окончание: "</w:t>
            </w:r>
            <w:r w:rsidR="005122B5">
              <w:rPr>
                <w:rFonts w:ascii="Times New Roman" w:hAnsi="Times New Roman"/>
                <w:sz w:val="27"/>
                <w:szCs w:val="27"/>
                <w:lang w:eastAsia="ru-RU"/>
              </w:rPr>
              <w:t>21</w:t>
            </w:r>
            <w:r w:rsidR="00732EC2">
              <w:rPr>
                <w:rFonts w:ascii="Times New Roman" w:hAnsi="Times New Roman"/>
                <w:sz w:val="27"/>
                <w:szCs w:val="27"/>
                <w:lang w:eastAsia="ru-RU"/>
              </w:rPr>
              <w:t>"</w:t>
            </w:r>
            <w:r w:rsidR="005122B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мая </w:t>
            </w:r>
            <w:r w:rsidR="00732EC2">
              <w:rPr>
                <w:rFonts w:ascii="Times New Roman" w:hAnsi="Times New Roman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21</w:t>
            </w:r>
            <w:bookmarkStart w:id="0" w:name="_GoBack"/>
            <w:bookmarkEnd w:id="0"/>
            <w:r w:rsidR="00732EC2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Сведения об участниках публичных консультаций, извещенных о проведении публичных консультаций:</w:t>
            </w:r>
          </w:p>
          <w:p w:rsidR="00732EC2" w:rsidRDefault="005122B5">
            <w:pPr>
              <w:spacing w:after="0" w:line="240" w:lineRule="auto"/>
              <w:ind w:left="88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 информационно-телекоммуникационной сети "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Интернет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":</w:t>
            </w:r>
            <w:hyperlink r:id="rId8" w:history="1">
              <w:r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www.adm-kletn</w:t>
              </w:r>
              <w:r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ya</w:t>
              </w:r>
              <w:proofErr w:type="spellEnd"/>
              <w:r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ru</w:t>
              </w:r>
              <w:proofErr w:type="spellEnd"/>
              <w:proofErr w:type="gramEnd"/>
            </w:hyperlink>
            <w:r>
              <w:rPr>
                <w:rStyle w:val="aa"/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32EC2"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Сведения о лицах, представивших предложения:</w:t>
            </w: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</w:t>
            </w:r>
            <w:r w:rsidR="005122B5"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Сведения о подразделениях разработчика, рассмотревших представленные предложения:</w:t>
            </w:r>
            <w:r w:rsidR="005122B5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нет</w:t>
            </w:r>
          </w:p>
          <w:p w:rsidR="00732EC2" w:rsidRDefault="00732EC2">
            <w:pPr>
              <w:spacing w:after="0" w:line="240" w:lineRule="auto"/>
              <w:ind w:left="88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____________________________________________________________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Иные сведения о проведении публичного обсуждения проекта </w:t>
            </w:r>
            <w:proofErr w:type="spellStart"/>
            <w:proofErr w:type="gram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акта:</w:t>
            </w:r>
            <w:r w:rsidR="005122B5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нет</w:t>
            </w:r>
            <w:proofErr w:type="spellEnd"/>
            <w:proofErr w:type="gramEnd"/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____________________________________________________________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</w:tbl>
    <w:p w:rsidR="00732EC2" w:rsidRDefault="00732EC2" w:rsidP="00732EC2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32EC2" w:rsidRDefault="00732EC2" w:rsidP="00732EC2">
      <w:pPr>
        <w:spacing w:after="0" w:line="240" w:lineRule="auto"/>
        <w:ind w:left="2127" w:hanging="2126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Приложение. Сводка предложений с указанием сведений об их учете или причинах отклонения</w:t>
      </w:r>
      <w:r w:rsidR="004E2B58">
        <w:rPr>
          <w:rFonts w:ascii="Times New Roman" w:hAnsi="Times New Roman"/>
          <w:sz w:val="28"/>
          <w:szCs w:val="28"/>
          <w:lang w:eastAsia="ru-RU"/>
        </w:rPr>
        <w:t xml:space="preserve"> -нет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Указание (при наличии) на иные приложения.</w:t>
      </w: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EC2" w:rsidRDefault="00732EC2" w:rsidP="00732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разработчика_____</w:t>
      </w:r>
      <w:r w:rsidR="004E2B58">
        <w:rPr>
          <w:rFonts w:ascii="Times New Roman" w:hAnsi="Times New Roman"/>
          <w:sz w:val="28"/>
          <w:szCs w:val="28"/>
          <w:lang w:eastAsia="ru-RU"/>
        </w:rPr>
        <w:t>_____________</w:t>
      </w:r>
      <w:proofErr w:type="spellStart"/>
      <w:r w:rsidR="004E2B58">
        <w:rPr>
          <w:rFonts w:ascii="Times New Roman" w:hAnsi="Times New Roman"/>
          <w:sz w:val="28"/>
          <w:szCs w:val="28"/>
          <w:lang w:eastAsia="ru-RU"/>
        </w:rPr>
        <w:t>Долженкова</w:t>
      </w:r>
      <w:proofErr w:type="spellEnd"/>
      <w:r w:rsidR="004E2B58"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:rsidR="00732EC2" w:rsidRDefault="00732EC2" w:rsidP="00732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                          Подпись</w:t>
      </w:r>
    </w:p>
    <w:p w:rsidR="006B4F68" w:rsidRDefault="006B4F68"/>
    <w:sectPr w:rsidR="006B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0B" w:rsidRDefault="00636A0B" w:rsidP="006B4F68">
      <w:pPr>
        <w:spacing w:after="0" w:line="240" w:lineRule="auto"/>
      </w:pPr>
      <w:r>
        <w:separator/>
      </w:r>
    </w:p>
  </w:endnote>
  <w:endnote w:type="continuationSeparator" w:id="0">
    <w:p w:rsidR="00636A0B" w:rsidRDefault="00636A0B" w:rsidP="006B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0B" w:rsidRDefault="00636A0B" w:rsidP="006B4F68">
      <w:pPr>
        <w:spacing w:after="0" w:line="240" w:lineRule="auto"/>
      </w:pPr>
      <w:r>
        <w:separator/>
      </w:r>
    </w:p>
  </w:footnote>
  <w:footnote w:type="continuationSeparator" w:id="0">
    <w:p w:rsidR="00636A0B" w:rsidRDefault="00636A0B" w:rsidP="006B4F68">
      <w:pPr>
        <w:spacing w:after="0" w:line="240" w:lineRule="auto"/>
      </w:pPr>
      <w:r>
        <w:continuationSeparator/>
      </w:r>
    </w:p>
  </w:footnote>
  <w:footnote w:id="1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8 сводного отчета.</w:t>
      </w:r>
    </w:p>
  </w:footnote>
  <w:footnote w:id="2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8 сводного отчета.</w:t>
      </w:r>
    </w:p>
  </w:footnote>
  <w:footnote w:id="3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7 сводного отчета.</w:t>
      </w:r>
    </w:p>
  </w:footnote>
  <w:footnote w:id="4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7 сводного отчета.</w:t>
      </w:r>
    </w:p>
  </w:footnote>
  <w:footnote w:id="5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10 сводного отчета.</w:t>
      </w:r>
    </w:p>
  </w:footnote>
  <w:footnote w:id="6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757710"/>
    <w:multiLevelType w:val="multilevel"/>
    <w:tmpl w:val="786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BE11C3"/>
    <w:multiLevelType w:val="hybridMultilevel"/>
    <w:tmpl w:val="55668ADE"/>
    <w:lvl w:ilvl="0" w:tplc="3F6ED3E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9C46AA2"/>
    <w:multiLevelType w:val="hybridMultilevel"/>
    <w:tmpl w:val="AED221A2"/>
    <w:lvl w:ilvl="0" w:tplc="36501FC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27"/>
    <w:rsid w:val="000D57ED"/>
    <w:rsid w:val="00200C5B"/>
    <w:rsid w:val="00225E5B"/>
    <w:rsid w:val="00285A2B"/>
    <w:rsid w:val="0037698E"/>
    <w:rsid w:val="00421568"/>
    <w:rsid w:val="004228D3"/>
    <w:rsid w:val="00474A27"/>
    <w:rsid w:val="004E2B58"/>
    <w:rsid w:val="004F01BF"/>
    <w:rsid w:val="005122B5"/>
    <w:rsid w:val="00534D33"/>
    <w:rsid w:val="00540587"/>
    <w:rsid w:val="006129C3"/>
    <w:rsid w:val="00636A0B"/>
    <w:rsid w:val="006928F7"/>
    <w:rsid w:val="006B4F68"/>
    <w:rsid w:val="006F5958"/>
    <w:rsid w:val="00732EC2"/>
    <w:rsid w:val="007A4ADF"/>
    <w:rsid w:val="008D06BC"/>
    <w:rsid w:val="00913E9A"/>
    <w:rsid w:val="0093164E"/>
    <w:rsid w:val="00943D20"/>
    <w:rsid w:val="00993826"/>
    <w:rsid w:val="00B853D8"/>
    <w:rsid w:val="00BB4EC1"/>
    <w:rsid w:val="00D05307"/>
    <w:rsid w:val="00D20D09"/>
    <w:rsid w:val="00D24413"/>
    <w:rsid w:val="00D2660F"/>
    <w:rsid w:val="00D71D93"/>
    <w:rsid w:val="00D94891"/>
    <w:rsid w:val="00DC7703"/>
    <w:rsid w:val="00DF1B5C"/>
    <w:rsid w:val="00E60CEC"/>
    <w:rsid w:val="00EB3F7D"/>
    <w:rsid w:val="00EE7745"/>
    <w:rsid w:val="00F6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EA8D-ECBE-4E77-BC9F-FB16911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6B4F68"/>
    <w:rPr>
      <w:rFonts w:cs="Times New Roman"/>
    </w:rPr>
  </w:style>
  <w:style w:type="paragraph" w:styleId="a3">
    <w:name w:val="Body Text"/>
    <w:basedOn w:val="a"/>
    <w:link w:val="a4"/>
    <w:rsid w:val="006B4F6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B4F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note text"/>
    <w:basedOn w:val="a"/>
    <w:link w:val="a6"/>
    <w:rsid w:val="006B4F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B4F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6B4F68"/>
    <w:rPr>
      <w:vertAlign w:val="superscript"/>
    </w:rPr>
  </w:style>
  <w:style w:type="paragraph" w:styleId="2">
    <w:name w:val="Body Text 2"/>
    <w:basedOn w:val="a"/>
    <w:link w:val="20"/>
    <w:rsid w:val="006B4F6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4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32EC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285A2B"/>
    <w:pPr>
      <w:ind w:left="708"/>
    </w:pPr>
    <w:rPr>
      <w:rFonts w:eastAsia="Times New Roman"/>
    </w:rPr>
  </w:style>
  <w:style w:type="paragraph" w:customStyle="1" w:styleId="ConsPlusTitle">
    <w:name w:val="ConsPlusTitle"/>
    <w:uiPriority w:val="99"/>
    <w:rsid w:val="004E2B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4E2B58"/>
    <w:rPr>
      <w:color w:val="0563C1" w:themeColor="hyperlink"/>
      <w:u w:val="single"/>
    </w:rPr>
  </w:style>
  <w:style w:type="character" w:customStyle="1" w:styleId="20pt">
    <w:name w:val="Основной текст (2) + Не курсив;Интервал 0 pt"/>
    <w:basedOn w:val="a0"/>
    <w:rsid w:val="00D71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kletn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13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2016-04-08T09:41:00Z</dcterms:created>
  <dcterms:modified xsi:type="dcterms:W3CDTF">2021-06-17T12:50:00Z</dcterms:modified>
</cp:coreProperties>
</file>