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25" w:rsidRPr="003F35A1" w:rsidRDefault="00F66225" w:rsidP="003F35A1">
      <w:pPr>
        <w:pStyle w:val="a3"/>
        <w:spacing w:before="0" w:beforeAutospacing="0"/>
        <w:jc w:val="both"/>
        <w:rPr>
          <w:color w:val="828282"/>
          <w:sz w:val="28"/>
          <w:szCs w:val="28"/>
        </w:rPr>
      </w:pPr>
      <w:r w:rsidRPr="003F35A1">
        <w:rPr>
          <w:b/>
          <w:bCs/>
          <w:i/>
          <w:iCs/>
          <w:color w:val="000000"/>
          <w:sz w:val="28"/>
          <w:szCs w:val="28"/>
          <w:u w:val="single"/>
        </w:rPr>
        <w:t>Дополнительные гарантии прав на имущество и жилое помещение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(ст. 8 Федерального закона от 21.12.1996 г. № 159-ФЗ «О дополнительных гарантиях по социальной поддержке детей-сирот и детей, оставшихся без попечения родителей»)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 xml:space="preserve">         1. </w:t>
      </w:r>
      <w:proofErr w:type="gramStart"/>
      <w:r w:rsidRPr="003F35A1">
        <w:rPr>
          <w:color w:val="000000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3F35A1">
        <w:rPr>
          <w:color w:val="000000"/>
          <w:sz w:val="28"/>
          <w:szCs w:val="28"/>
        </w:rPr>
        <w:t xml:space="preserve">, </w:t>
      </w:r>
      <w:proofErr w:type="gramStart"/>
      <w:r w:rsidRPr="003F35A1">
        <w:rPr>
          <w:color w:val="000000"/>
          <w:sz w:val="28"/>
          <w:szCs w:val="28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</w:t>
      </w:r>
      <w:proofErr w:type="gramEnd"/>
      <w:r w:rsidRPr="003F35A1">
        <w:rPr>
          <w:color w:val="000000"/>
          <w:sz w:val="28"/>
          <w:szCs w:val="28"/>
        </w:rPr>
        <w:t xml:space="preserve"> жилые помещения специализированного жилищного фонда по договорам найма специализированных жилых помещений.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Жилые помещения предоставляются лицам, указанным в </w:t>
      </w:r>
      <w:hyperlink r:id="rId5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абзаце первом</w:t>
        </w:r>
      </w:hyperlink>
      <w:r w:rsidRPr="003F35A1">
        <w:rPr>
          <w:color w:val="000000"/>
          <w:sz w:val="28"/>
          <w:szCs w:val="28"/>
        </w:rPr>
        <w:t> настоящего пункта, по их заявлению в письменной форме по достижении ими возраста 18 лет, а также в случае приобретения ими полной дееспособности до достижения совершеннолетия. В случаях, предусмотренных законодательством субъектов Российской Федерации, жилые помещения могут быть предоставлены лицам, указанным в </w:t>
      </w:r>
      <w:hyperlink r:id="rId6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абзаце первом</w:t>
        </w:r>
      </w:hyperlink>
      <w:r w:rsidRPr="003F35A1">
        <w:rPr>
          <w:color w:val="000000"/>
          <w:sz w:val="28"/>
          <w:szCs w:val="28"/>
        </w:rPr>
        <w:t xml:space="preserve"> настоящего пункта, по их заявлению в письменной форме </w:t>
      </w:r>
      <w:proofErr w:type="gramStart"/>
      <w:r w:rsidRPr="003F35A1">
        <w:rPr>
          <w:color w:val="000000"/>
          <w:sz w:val="28"/>
          <w:szCs w:val="28"/>
        </w:rPr>
        <w:t>ранее</w:t>
      </w:r>
      <w:proofErr w:type="gramEnd"/>
      <w:r w:rsidRPr="003F35A1">
        <w:rPr>
          <w:color w:val="000000"/>
          <w:sz w:val="28"/>
          <w:szCs w:val="28"/>
        </w:rPr>
        <w:t xml:space="preserve"> чем по достижении ими возраста 18 лет.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 xml:space="preserve">         </w:t>
      </w:r>
      <w:proofErr w:type="gramStart"/>
      <w:r w:rsidRPr="003F35A1">
        <w:rPr>
          <w:color w:val="000000"/>
          <w:sz w:val="28"/>
          <w:szCs w:val="28"/>
        </w:rPr>
        <w:t>По заявлению в письменной форме лиц, указанных в </w:t>
      </w:r>
      <w:hyperlink r:id="rId7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абзаце первом</w:t>
        </w:r>
      </w:hyperlink>
      <w:r w:rsidRPr="003F35A1">
        <w:rPr>
          <w:color w:val="000000"/>
          <w:sz w:val="28"/>
          <w:szCs w:val="28"/>
        </w:rPr>
        <w:t> настоящего пункта и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</w:t>
      </w:r>
      <w:proofErr w:type="gramEnd"/>
      <w:r w:rsidRPr="003F35A1">
        <w:rPr>
          <w:color w:val="000000"/>
          <w:sz w:val="28"/>
          <w:szCs w:val="28"/>
        </w:rPr>
        <w:t xml:space="preserve"> прохождения военной службы по призыву, либо </w:t>
      </w:r>
      <w:proofErr w:type="gramStart"/>
      <w:r w:rsidRPr="003F35A1">
        <w:rPr>
          <w:color w:val="000000"/>
          <w:sz w:val="28"/>
          <w:szCs w:val="28"/>
        </w:rPr>
        <w:t>окончании</w:t>
      </w:r>
      <w:proofErr w:type="gramEnd"/>
      <w:r w:rsidRPr="003F35A1">
        <w:rPr>
          <w:color w:val="000000"/>
          <w:sz w:val="28"/>
          <w:szCs w:val="28"/>
        </w:rPr>
        <w:t xml:space="preserve"> отбывания наказания в исправительных учреждениях.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lastRenderedPageBreak/>
        <w:t xml:space="preserve">         2. </w:t>
      </w:r>
      <w:proofErr w:type="gramStart"/>
      <w:r w:rsidRPr="003F35A1">
        <w:rPr>
          <w:color w:val="000000"/>
          <w:sz w:val="28"/>
          <w:szCs w:val="28"/>
        </w:rPr>
        <w:t>Органы исполнительной власти субъектов Российской Федерации в порядке, установленном нормативными правовыми актами субъектов Российской Федерации, обязаны осуществлять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осуществлять контроль за распоряжением ими</w:t>
      </w:r>
      <w:proofErr w:type="gramEnd"/>
      <w:r w:rsidRPr="003F35A1">
        <w:rPr>
          <w:color w:val="000000"/>
          <w:sz w:val="28"/>
          <w:szCs w:val="28"/>
        </w:rPr>
        <w:t>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3. Орган исполнительной власти субъекта Российской Федерации формирует список детей-сирот и детей, оставшихся без попечения родителей, лиц из числа детей-сирот и детей, оставшихся без попечения родителей, лиц, указанных в </w:t>
      </w:r>
      <w:hyperlink r:id="rId8" w:anchor="Par36" w:history="1">
        <w:r w:rsidRPr="003F35A1">
          <w:rPr>
            <w:rStyle w:val="a4"/>
            <w:color w:val="000000"/>
            <w:sz w:val="28"/>
            <w:szCs w:val="28"/>
            <w:u w:val="none"/>
          </w:rPr>
          <w:t>пункте 9</w:t>
        </w:r>
      </w:hyperlink>
      <w:r w:rsidRPr="003F35A1">
        <w:rPr>
          <w:color w:val="000000"/>
          <w:sz w:val="28"/>
          <w:szCs w:val="28"/>
        </w:rPr>
        <w:t> настоящей статьи, которые подлежат обеспечению жилыми помещениями (далее - список) в соответствии с </w:t>
      </w:r>
      <w:hyperlink r:id="rId9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пунктом 1</w:t>
        </w:r>
      </w:hyperlink>
      <w:r w:rsidRPr="003F35A1">
        <w:rPr>
          <w:color w:val="000000"/>
          <w:sz w:val="28"/>
          <w:szCs w:val="28"/>
        </w:rPr>
        <w:t> настоящей статьи. Лица, указанные в </w:t>
      </w:r>
      <w:hyperlink r:id="rId10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абзаце первом пункта 1</w:t>
        </w:r>
      </w:hyperlink>
      <w:r w:rsidRPr="003F35A1">
        <w:rPr>
          <w:color w:val="000000"/>
          <w:sz w:val="28"/>
          <w:szCs w:val="28"/>
        </w:rPr>
        <w:t> настоящей статьи, включаются в список по достижении возраста 14 лет.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 </w:t>
      </w:r>
      <w:hyperlink r:id="rId11" w:history="1">
        <w:r w:rsidRPr="003F35A1">
          <w:rPr>
            <w:rStyle w:val="a4"/>
            <w:color w:val="000000"/>
            <w:sz w:val="28"/>
            <w:szCs w:val="28"/>
            <w:u w:val="none"/>
          </w:rPr>
          <w:t>Порядок</w:t>
        </w:r>
      </w:hyperlink>
      <w:r w:rsidRPr="003F35A1">
        <w:rPr>
          <w:color w:val="000000"/>
          <w:sz w:val="28"/>
          <w:szCs w:val="28"/>
        </w:rPr>
        <w:t> формирования списка, </w:t>
      </w:r>
      <w:hyperlink r:id="rId12" w:history="1">
        <w:r w:rsidRPr="003F35A1">
          <w:rPr>
            <w:rStyle w:val="a4"/>
            <w:color w:val="000000"/>
            <w:sz w:val="28"/>
            <w:szCs w:val="28"/>
            <w:u w:val="none"/>
          </w:rPr>
          <w:t>форма</w:t>
        </w:r>
      </w:hyperlink>
      <w:r w:rsidRPr="003F35A1">
        <w:rPr>
          <w:color w:val="000000"/>
          <w:sz w:val="28"/>
          <w:szCs w:val="28"/>
        </w:rPr>
        <w:t> заявления о включении в список, примерный перечень документов, необходимых для включения в список, сроки и основания принятия решения о включении либо об отказе во включении в список, а также сроки включения в список устанавливаются Правительством Российской Федерации.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Заявление о включении в список подается законными представителями детей-сирот и детей, оставшихся без попечения родителей, достигших возраста 14 лет, в течение трех месяцев со дня достижения ими указанного возраста или с момента возникновения оснований предоставления жилых помещений, предусмотренных </w:t>
      </w:r>
      <w:hyperlink r:id="rId13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абзацем первым пункта 1</w:t>
        </w:r>
      </w:hyperlink>
      <w:r w:rsidRPr="003F35A1">
        <w:rPr>
          <w:color w:val="000000"/>
          <w:sz w:val="28"/>
          <w:szCs w:val="28"/>
        </w:rPr>
        <w:t> настоящей статьи.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 xml:space="preserve">         Органы опеки и попечительства осуществляют </w:t>
      </w:r>
      <w:proofErr w:type="gramStart"/>
      <w:r w:rsidRPr="003F35A1">
        <w:rPr>
          <w:color w:val="000000"/>
          <w:sz w:val="28"/>
          <w:szCs w:val="28"/>
        </w:rPr>
        <w:t>контроль за</w:t>
      </w:r>
      <w:proofErr w:type="gramEnd"/>
      <w:r w:rsidRPr="003F35A1">
        <w:rPr>
          <w:color w:val="000000"/>
          <w:sz w:val="28"/>
          <w:szCs w:val="28"/>
        </w:rPr>
        <w:t xml:space="preserve"> своевременной подачей законными представителями детей-сирот и детей, оставшихся без попечения родителей, заявлений о включении этих детей в список и в случае неподачи таких заявлений принимают меры по включению этих детей в список.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proofErr w:type="gramStart"/>
      <w:r w:rsidRPr="003F35A1">
        <w:rPr>
          <w:color w:val="000000"/>
          <w:sz w:val="28"/>
          <w:szCs w:val="28"/>
        </w:rPr>
        <w:t>Дети-сироты и дети, оставшиеся без попечения родителей, приобретшие полную дееспособность до достижения ими совершеннолетия, а также лица из числа детей-сирот и детей, оставшихся без попечения родителей,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</w:t>
      </w:r>
      <w:proofErr w:type="gramEnd"/>
      <w:r w:rsidRPr="003F35A1">
        <w:rPr>
          <w:color w:val="000000"/>
          <w:sz w:val="28"/>
          <w:szCs w:val="28"/>
        </w:rPr>
        <w:t xml:space="preserve"> помещениями, вправе самостоятельно обратиться с заявлением в письменной форме о включении их в список.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lastRenderedPageBreak/>
        <w:t>         3.1. Дети-сироты и дети, оставшиеся без попечения родителей, лица из числа детей-сирот и детей, оставшихся без попечения родителей, исключаются из списка в случае: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1) предоставления им жилых помещений в соответствии с </w:t>
      </w:r>
      <w:hyperlink r:id="rId14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пунктом 1</w:t>
        </w:r>
      </w:hyperlink>
      <w:r w:rsidRPr="003F35A1">
        <w:rPr>
          <w:color w:val="000000"/>
          <w:sz w:val="28"/>
          <w:szCs w:val="28"/>
        </w:rPr>
        <w:t> настоящей статьи;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2) утраты ими оснований, предусмотренных настоящей статьей, для предоставления благоустроенных жилых помещений специализированного жилищного фонда по договорам найма специализированных жилых помещений;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3) включения их в список в другом субъекте Российской Федерации в связи со сменой места жительства. </w:t>
      </w:r>
      <w:hyperlink r:id="rId15" w:history="1">
        <w:r w:rsidRPr="003F35A1">
          <w:rPr>
            <w:rStyle w:val="a4"/>
            <w:color w:val="000000"/>
            <w:sz w:val="28"/>
            <w:szCs w:val="28"/>
            <w:u w:val="none"/>
          </w:rPr>
          <w:t>Порядок</w:t>
        </w:r>
      </w:hyperlink>
      <w:r w:rsidRPr="003F35A1">
        <w:rPr>
          <w:color w:val="000000"/>
          <w:sz w:val="28"/>
          <w:szCs w:val="28"/>
        </w:rPr>
        <w:t> исключения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Федерации;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4) прекращения у них гражданства Российской Федерации, если иное не предусмотрено международным договором Российской Федерации;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5) смерти или объявления их умершими в </w:t>
      </w:r>
      <w:hyperlink r:id="rId16" w:history="1">
        <w:r w:rsidRPr="003F35A1">
          <w:rPr>
            <w:rStyle w:val="a4"/>
            <w:color w:val="000000"/>
            <w:sz w:val="28"/>
            <w:szCs w:val="28"/>
            <w:u w:val="none"/>
          </w:rPr>
          <w:t>порядке</w:t>
        </w:r>
      </w:hyperlink>
      <w:r w:rsidRPr="003F35A1">
        <w:rPr>
          <w:color w:val="000000"/>
          <w:sz w:val="28"/>
          <w:szCs w:val="28"/>
        </w:rPr>
        <w:t>, установленном законодательством Российской Федерации.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 xml:space="preserve">         4. </w:t>
      </w:r>
      <w:proofErr w:type="gramStart"/>
      <w:r w:rsidRPr="003F35A1">
        <w:rPr>
          <w:color w:val="000000"/>
          <w:sz w:val="28"/>
          <w:szCs w:val="28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proofErr w:type="gramEnd"/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1) проживание на любом законном основании в таких жилых помещениях лиц: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 </w:t>
      </w:r>
      <w:hyperlink r:id="rId17" w:history="1">
        <w:r w:rsidRPr="003F35A1">
          <w:rPr>
            <w:rStyle w:val="a4"/>
            <w:color w:val="000000"/>
            <w:sz w:val="28"/>
            <w:szCs w:val="28"/>
            <w:u w:val="none"/>
          </w:rPr>
          <w:t>частью 3 статьи 72</w:t>
        </w:r>
      </w:hyperlink>
      <w:r w:rsidRPr="003F35A1">
        <w:rPr>
          <w:color w:val="000000"/>
          <w:sz w:val="28"/>
          <w:szCs w:val="28"/>
        </w:rPr>
        <w:t> Жилищного кодекса Российской Федерации);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страдающих тяжелой формой хронических заболеваний в соответствии с указанным в </w:t>
      </w:r>
      <w:hyperlink r:id="rId18" w:history="1">
        <w:r w:rsidRPr="003F35A1">
          <w:rPr>
            <w:rStyle w:val="a4"/>
            <w:color w:val="000000"/>
            <w:sz w:val="28"/>
            <w:szCs w:val="28"/>
            <w:u w:val="none"/>
          </w:rPr>
          <w:t>пункте 4 части 1 статьи 51</w:t>
        </w:r>
      </w:hyperlink>
      <w:r w:rsidRPr="003F35A1">
        <w:rPr>
          <w:color w:val="000000"/>
          <w:sz w:val="28"/>
          <w:szCs w:val="28"/>
        </w:rPr>
        <w:t xml:space="preserve"> Жилищного кодекса Российской </w:t>
      </w:r>
      <w:r w:rsidRPr="003F35A1">
        <w:rPr>
          <w:color w:val="000000"/>
          <w:sz w:val="28"/>
          <w:szCs w:val="28"/>
        </w:rPr>
        <w:lastRenderedPageBreak/>
        <w:t>Федерации </w:t>
      </w:r>
      <w:hyperlink r:id="rId19" w:history="1">
        <w:r w:rsidRPr="003F35A1">
          <w:rPr>
            <w:rStyle w:val="a4"/>
            <w:color w:val="000000"/>
            <w:sz w:val="28"/>
            <w:szCs w:val="28"/>
            <w:u w:val="none"/>
          </w:rPr>
          <w:t>перечнем</w:t>
        </w:r>
      </w:hyperlink>
      <w:r w:rsidRPr="003F35A1">
        <w:rPr>
          <w:color w:val="000000"/>
          <w:sz w:val="28"/>
          <w:szCs w:val="28"/>
        </w:rPr>
        <w:t>, при которой совместное проживание с ними в одном жилом помещении невозможно;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2) жилые помещения признаны непригодными для проживания по основаниям и в </w:t>
      </w:r>
      <w:hyperlink r:id="rId20" w:history="1">
        <w:r w:rsidRPr="003F35A1">
          <w:rPr>
            <w:rStyle w:val="a4"/>
            <w:color w:val="000000"/>
            <w:sz w:val="28"/>
            <w:szCs w:val="28"/>
            <w:u w:val="none"/>
          </w:rPr>
          <w:t>порядке</w:t>
        </w:r>
      </w:hyperlink>
      <w:r w:rsidRPr="003F35A1">
        <w:rPr>
          <w:color w:val="000000"/>
          <w:sz w:val="28"/>
          <w:szCs w:val="28"/>
        </w:rPr>
        <w:t>, которые установлены жилищным законодательством;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(</w:t>
      </w:r>
      <w:proofErr w:type="spellStart"/>
      <w:r w:rsidRPr="003F35A1">
        <w:rPr>
          <w:color w:val="000000"/>
          <w:sz w:val="28"/>
          <w:szCs w:val="28"/>
        </w:rPr>
        <w:t>пп</w:t>
      </w:r>
      <w:proofErr w:type="spellEnd"/>
      <w:r w:rsidRPr="003F35A1">
        <w:rPr>
          <w:color w:val="000000"/>
          <w:sz w:val="28"/>
          <w:szCs w:val="28"/>
        </w:rPr>
        <w:t>. 2 в ред. Федерального </w:t>
      </w:r>
      <w:hyperlink r:id="rId21" w:history="1">
        <w:r w:rsidRPr="003F35A1">
          <w:rPr>
            <w:rStyle w:val="a4"/>
            <w:color w:val="000000"/>
            <w:sz w:val="28"/>
            <w:szCs w:val="28"/>
            <w:u w:val="none"/>
          </w:rPr>
          <w:t>закона</w:t>
        </w:r>
      </w:hyperlink>
      <w:r w:rsidRPr="003F35A1">
        <w:rPr>
          <w:color w:val="000000"/>
          <w:sz w:val="28"/>
          <w:szCs w:val="28"/>
        </w:rPr>
        <w:t> от 29.07.2018 N 267-ФЗ)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 xml:space="preserve">         </w:t>
      </w:r>
      <w:proofErr w:type="gramStart"/>
      <w:r w:rsidRPr="003F35A1">
        <w:rPr>
          <w:color w:val="000000"/>
          <w:sz w:val="28"/>
          <w:szCs w:val="28"/>
        </w:rPr>
        <w:t>3) общая площадь жилого помещения, приходящаяся на одно лицо, проживающее в данном жилом помещении, менее </w:t>
      </w:r>
      <w:hyperlink r:id="rId22" w:history="1">
        <w:r w:rsidRPr="003F35A1">
          <w:rPr>
            <w:rStyle w:val="a4"/>
            <w:color w:val="000000"/>
            <w:sz w:val="28"/>
            <w:szCs w:val="28"/>
            <w:u w:val="none"/>
          </w:rPr>
          <w:t>учетной нормы</w:t>
        </w:r>
      </w:hyperlink>
      <w:r w:rsidRPr="003F35A1">
        <w:rPr>
          <w:color w:val="000000"/>
          <w:sz w:val="28"/>
          <w:szCs w:val="28"/>
        </w:rPr>
        <w:t> площади жилого помещения, в том числе</w:t>
      </w:r>
      <w:r w:rsidR="008F10CF">
        <w:rPr>
          <w:color w:val="000000"/>
          <w:sz w:val="28"/>
          <w:szCs w:val="28"/>
        </w:rPr>
        <w:t>,</w:t>
      </w:r>
      <w:r w:rsidRPr="003F35A1">
        <w:rPr>
          <w:color w:val="000000"/>
          <w:sz w:val="28"/>
          <w:szCs w:val="28"/>
        </w:rPr>
        <w:t xml:space="preserve"> если такое уменьшение произойдет в результате вселения в </w:t>
      </w:r>
      <w:bookmarkStart w:id="0" w:name="_GoBack"/>
      <w:bookmarkEnd w:id="0"/>
      <w:r w:rsidRPr="003F35A1">
        <w:rPr>
          <w:color w:val="000000"/>
          <w:sz w:val="28"/>
          <w:szCs w:val="28"/>
        </w:rPr>
        <w:t>данное жилое помещение детей-сирот и детей, оставшихся без попечения родителей, лиц из числа детей-сирот и детей, оставшихся без попечения родителей;</w:t>
      </w:r>
      <w:proofErr w:type="gramEnd"/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4) иное установленное законодательством субъекта Российской Федерации обстоятельство.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 xml:space="preserve">         5. Порядок </w:t>
      </w:r>
      <w:proofErr w:type="gramStart"/>
      <w:r w:rsidRPr="003F35A1">
        <w:rPr>
          <w:color w:val="000000"/>
          <w:sz w:val="28"/>
          <w:szCs w:val="28"/>
        </w:rPr>
        <w:t>установления факта невозможности проживания детей-сирот</w:t>
      </w:r>
      <w:proofErr w:type="gramEnd"/>
      <w:r w:rsidRPr="003F35A1">
        <w:rPr>
          <w:color w:val="000000"/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устанавливается законодательством субъекта Российской Федерации.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6. Срок действия договора найма специализированного жилого помещения, предоставляемого в соответствии с </w:t>
      </w:r>
      <w:hyperlink r:id="rId23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пунктом 1</w:t>
        </w:r>
      </w:hyperlink>
      <w:r w:rsidRPr="003F35A1">
        <w:rPr>
          <w:color w:val="000000"/>
          <w:sz w:val="28"/>
          <w:szCs w:val="28"/>
        </w:rPr>
        <w:t> настоящей статьи, составляет пять лет.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 xml:space="preserve">         </w:t>
      </w:r>
      <w:proofErr w:type="gramStart"/>
      <w:r w:rsidRPr="003F35A1">
        <w:rPr>
          <w:color w:val="000000"/>
          <w:sz w:val="28"/>
          <w:szCs w:val="28"/>
        </w:rPr>
        <w:t>В случае выявления обстоятельств, свидетельствующих о необходимости оказания лицам, указанным в </w:t>
      </w:r>
      <w:hyperlink r:id="rId24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пункте 1</w:t>
        </w:r>
      </w:hyperlink>
      <w:r w:rsidRPr="003F35A1">
        <w:rPr>
          <w:color w:val="000000"/>
          <w:sz w:val="28"/>
          <w:szCs w:val="28"/>
        </w:rPr>
        <w:t> настоящей статьи, содействия в преодолении трудной жизненной ситуации,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Федерации.</w:t>
      </w:r>
      <w:proofErr w:type="gramEnd"/>
      <w:r w:rsidRPr="003F35A1">
        <w:rPr>
          <w:color w:val="000000"/>
          <w:sz w:val="28"/>
          <w:szCs w:val="28"/>
        </w:rPr>
        <w:t xml:space="preserve"> Порядок выявления этих обстоятельств устанавливается законодательством субъекта Российской Федерации.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 xml:space="preserve">         </w:t>
      </w:r>
      <w:proofErr w:type="gramStart"/>
      <w:r w:rsidRPr="003F35A1">
        <w:rPr>
          <w:color w:val="000000"/>
          <w:sz w:val="28"/>
          <w:szCs w:val="28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лицам, указанным в </w:t>
      </w:r>
      <w:hyperlink r:id="rId25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пункте 1</w:t>
        </w:r>
      </w:hyperlink>
      <w:r w:rsidRPr="003F35A1">
        <w:rPr>
          <w:color w:val="000000"/>
          <w:sz w:val="28"/>
          <w:szCs w:val="28"/>
        </w:rPr>
        <w:t> настоящей статьи, содействия в преодолении трудной жизненной ситуации, орган исполнительной власти субъекта Российской Федерации, осуществляющий управление государственным жилищным фондом, обязан принять решение об исключении жилого помещения из специализированного жилищного фонда и заключить с лицами, указанными в </w:t>
      </w:r>
      <w:hyperlink r:id="rId26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пункте 1</w:t>
        </w:r>
        <w:proofErr w:type="gramEnd"/>
      </w:hyperlink>
      <w:r w:rsidRPr="003F35A1">
        <w:rPr>
          <w:color w:val="000000"/>
          <w:sz w:val="28"/>
          <w:szCs w:val="28"/>
        </w:rPr>
        <w:t xml:space="preserve"> настоящей статьи, </w:t>
      </w:r>
      <w:r w:rsidRPr="003F35A1">
        <w:rPr>
          <w:color w:val="000000"/>
          <w:sz w:val="28"/>
          <w:szCs w:val="28"/>
        </w:rPr>
        <w:lastRenderedPageBreak/>
        <w:t>договор социального найма в отношении этого жилого помещения в порядке, установленном законодательством субъекта Российской Федерации.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7. По договорам найма специализированных жилых помещений они предоставляются лицам, указанным в </w:t>
      </w:r>
      <w:hyperlink r:id="rId27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пункте 1</w:t>
        </w:r>
      </w:hyperlink>
      <w:r w:rsidRPr="003F35A1">
        <w:rPr>
          <w:color w:val="000000"/>
          <w:sz w:val="28"/>
          <w:szCs w:val="28"/>
        </w:rPr>
        <w:t xml:space="preserve"> настоящей статьи,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найма. </w:t>
      </w:r>
      <w:proofErr w:type="gramStart"/>
      <w:r w:rsidRPr="003F35A1">
        <w:rPr>
          <w:color w:val="000000"/>
          <w:sz w:val="28"/>
          <w:szCs w:val="28"/>
        </w:rPr>
        <w:t>Общее количество жилых помещений в виде квартир, предоставляемых лицам, указанным в </w:t>
      </w:r>
      <w:hyperlink r:id="rId28" w:anchor="Par0" w:history="1">
        <w:r w:rsidRPr="003F35A1">
          <w:rPr>
            <w:rStyle w:val="a4"/>
            <w:color w:val="000000"/>
            <w:sz w:val="28"/>
            <w:szCs w:val="28"/>
            <w:u w:val="none"/>
          </w:rPr>
          <w:t>пункте 1</w:t>
        </w:r>
      </w:hyperlink>
      <w:r w:rsidRPr="003F35A1">
        <w:rPr>
          <w:color w:val="000000"/>
          <w:sz w:val="28"/>
          <w:szCs w:val="28"/>
        </w:rPr>
        <w:t> настоящей статьи, в одном многоквартирном доме,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доме,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</w:t>
      </w:r>
      <w:proofErr w:type="gramEnd"/>
      <w:r w:rsidRPr="003F35A1">
        <w:rPr>
          <w:color w:val="000000"/>
          <w:sz w:val="28"/>
          <w:szCs w:val="28"/>
        </w:rPr>
        <w:t xml:space="preserve"> менее десяти.</w:t>
      </w:r>
    </w:p>
    <w:p w:rsidR="00F66225" w:rsidRPr="003F35A1" w:rsidRDefault="00F66225" w:rsidP="003F35A1">
      <w:pPr>
        <w:pStyle w:val="a3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8. Дополнительные гарантии прав детей-сирот и детей, оставшихся без попечения родителей, лиц из числа детей-сирот и детей, оставшихся без попечения родителей, на имущество и жилое помещение относятся к расходным обязательствам субъекта Российской Федерации.</w:t>
      </w:r>
    </w:p>
    <w:p w:rsidR="00F66225" w:rsidRPr="003F35A1" w:rsidRDefault="00F66225" w:rsidP="003F35A1">
      <w:pPr>
        <w:pStyle w:val="a3"/>
        <w:spacing w:after="0" w:afterAutospacing="0"/>
        <w:jc w:val="both"/>
        <w:rPr>
          <w:color w:val="828282"/>
          <w:sz w:val="28"/>
          <w:szCs w:val="28"/>
        </w:rPr>
      </w:pPr>
      <w:r w:rsidRPr="003F35A1">
        <w:rPr>
          <w:color w:val="000000"/>
          <w:sz w:val="28"/>
          <w:szCs w:val="28"/>
        </w:rPr>
        <w:t>         9. Право на обеспечение жилыми помещениями по основаниям и в порядке, которые предусмотрены настоящей статьей, сохраняется за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помещениями.</w:t>
      </w:r>
    </w:p>
    <w:p w:rsidR="005E6430" w:rsidRPr="003F35A1" w:rsidRDefault="005E6430" w:rsidP="003F35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430" w:rsidRPr="003F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25"/>
    <w:rsid w:val="003F35A1"/>
    <w:rsid w:val="005E6430"/>
    <w:rsid w:val="008F10CF"/>
    <w:rsid w:val="00F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13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18" Type="http://schemas.openxmlformats.org/officeDocument/2006/relationships/hyperlink" Target="consultantplus://offline/ref=0F5DF8A1D03655FC61236EB5B7BA817FA9CC2BD02D4A4CD03293B1742F740A8416AB35C7D47ADC7A5F5F42758FEF9B218FB5D6AF64K1G" TargetMode="External"/><Relationship Id="rId26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5DF8A1D03655FC61236EB5B7BA817FA9C92BDB2E424CD03293B1742F740A8416AB35C2DC7188291C011B24CEA4962294A9D6AE5F37D3E563KBG" TargetMode="External"/><Relationship Id="rId7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12" Type="http://schemas.openxmlformats.org/officeDocument/2006/relationships/hyperlink" Target="consultantplus://offline/ref=0F5DF8A1D03655FC61236EB5B7BA817FA9CA2DD92D464CD03293B1742F740A8416AB35C2DC71892F18011B24CEA4962294A9D6AE5F37D3E563KBG" TargetMode="External"/><Relationship Id="rId17" Type="http://schemas.openxmlformats.org/officeDocument/2006/relationships/hyperlink" Target="consultantplus://offline/ref=0F5DF8A1D03655FC61236EB5B7BA817FA9CC2BD02D4A4CD03293B1742F740A8416AB35C2DC718C2C1E011B24CEA4962294A9D6AE5F37D3E563KBG" TargetMode="External"/><Relationship Id="rId25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5DF8A1D03655FC61236EB5B7BA817FA9CC2FDB2B474CD03293B1742F740A8416AB35C2DC718A2F19011B24CEA4962294A9D6AE5F37D3E563KBG" TargetMode="External"/><Relationship Id="rId20" Type="http://schemas.openxmlformats.org/officeDocument/2006/relationships/hyperlink" Target="consultantplus://offline/ref=0F5DF8A1D03655FC61236EB5B7BA817FA9CB26D920444CD03293B1742F740A8416AB35C2DC71892812011B24CEA4962294A9D6AE5F37D3E563KB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11" Type="http://schemas.openxmlformats.org/officeDocument/2006/relationships/hyperlink" Target="consultantplus://offline/ref=0F5DF8A1D03655FC61236EB5B7BA817FA9CA2DD92D464CD03293B1742F740A8416AB35C2DC71882A19011B24CEA4962294A9D6AE5F37D3E563KBG" TargetMode="External"/><Relationship Id="rId24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5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15" Type="http://schemas.openxmlformats.org/officeDocument/2006/relationships/hyperlink" Target="consultantplus://offline/ref=0F5DF8A1D03655FC61236EB5B7BA817FA9CA2DD92D464CD03293B1742F740A8416AB35C2DC71882A19011B24CEA4962294A9D6AE5F37D3E563KBG" TargetMode="External"/><Relationship Id="rId23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28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10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19" Type="http://schemas.openxmlformats.org/officeDocument/2006/relationships/hyperlink" Target="consultantplus://offline/ref=0F5DF8A1D03655FC61236EB5B7BA817FABCC2DDD2B464CD03293B1742F740A8416AB35C2DC71882A1B011B24CEA4962294A9D6AE5F37D3E563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14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22" Type="http://schemas.openxmlformats.org/officeDocument/2006/relationships/hyperlink" Target="consultantplus://offline/ref=0F5DF8A1D03655FC61236EB5B7BA817FA9CC2BD02D4A4CD03293B1742F740A8416AB35C2DC718B2E12011B24CEA4962294A9D6AE5F37D3E563KBG" TargetMode="External"/><Relationship Id="rId27" Type="http://schemas.openxmlformats.org/officeDocument/2006/relationships/hyperlink" Target="file:///C:\Users\dimon\Desktop\%D0%A1%D0%B0%D0%B9%D1%82\%D0%9E%D0%B1%D0%B5%D1%81%D0%BF%D0%B5%D1%87%D0%B5%D0%BD%D0%B8%D0%B5%20%D0%B6%D0%B8%D0%BB%D1%8C%D0%B5%D0%BC%20-%20%D1%81%D1%82%D0%B0%D1%82%D1%8C%D1%8F%208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2023-01-25T11:54:00Z</dcterms:created>
  <dcterms:modified xsi:type="dcterms:W3CDTF">2023-01-25T12:33:00Z</dcterms:modified>
</cp:coreProperties>
</file>